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Arial"/>
        </w:rPr>
      </w:pPr>
    </w:p>
    <w:p>
      <w:pPr>
        <w:jc w:val="center"/>
        <w:rPr>
          <w:rFonts w:cs="Arial"/>
          <w:sz w:val="28"/>
          <w:szCs w:val="32"/>
        </w:rPr>
      </w:pPr>
      <w:r>
        <w:rPr>
          <w:rFonts w:cs="Arial"/>
          <w:sz w:val="28"/>
          <w:szCs w:val="32"/>
        </w:rPr>
        <w:t>央地关系</w:t>
      </w:r>
      <w:r>
        <w:rPr>
          <w:rFonts w:hint="eastAsia" w:cs="Arial"/>
          <w:sz w:val="28"/>
          <w:szCs w:val="32"/>
        </w:rPr>
        <w:t>与</w:t>
      </w:r>
      <w:r>
        <w:rPr>
          <w:rFonts w:cs="Arial"/>
          <w:sz w:val="28"/>
          <w:szCs w:val="32"/>
        </w:rPr>
        <w:t>债务</w:t>
      </w:r>
      <w:r>
        <w:rPr>
          <w:rFonts w:hint="eastAsia" w:cs="Arial"/>
          <w:sz w:val="28"/>
          <w:szCs w:val="32"/>
        </w:rPr>
        <w:t>：</w:t>
      </w:r>
    </w:p>
    <w:p>
      <w:pPr>
        <w:jc w:val="center"/>
        <w:rPr>
          <w:rFonts w:cs="Arial"/>
          <w:sz w:val="28"/>
          <w:szCs w:val="32"/>
        </w:rPr>
      </w:pPr>
      <w:r>
        <w:rPr>
          <w:rFonts w:hint="eastAsia" w:cs="Arial"/>
          <w:sz w:val="28"/>
          <w:szCs w:val="32"/>
        </w:rPr>
        <w:t>以空间政治经济学看</w:t>
      </w:r>
      <w:r>
        <w:rPr>
          <w:rFonts w:cs="Arial"/>
          <w:sz w:val="28"/>
          <w:szCs w:val="32"/>
        </w:rPr>
        <w:t>高质量发展</w:t>
      </w:r>
    </w:p>
    <w:p>
      <w:pPr>
        <w:rPr>
          <w:rFonts w:cs="Arial"/>
        </w:rPr>
      </w:pPr>
    </w:p>
    <w:p>
      <w:pPr>
        <w:jc w:val="center"/>
        <w:rPr>
          <w:rFonts w:cs="Arial"/>
          <w:sz w:val="24"/>
          <w:szCs w:val="24"/>
        </w:rPr>
      </w:pPr>
      <w:r>
        <w:rPr>
          <w:rFonts w:hint="eastAsia" w:cs="Arial"/>
          <w:sz w:val="24"/>
          <w:szCs w:val="24"/>
        </w:rPr>
        <w:t>陆铭、蔡心依、钟辉勇</w:t>
      </w:r>
      <w:r>
        <w:rPr>
          <w:rStyle w:val="22"/>
          <w:rFonts w:hint="eastAsia" w:cs="Arial"/>
          <w:sz w:val="24"/>
          <w:szCs w:val="24"/>
        </w:rPr>
        <w:footnoteReference w:id="0"/>
      </w:r>
    </w:p>
    <w:p>
      <w:pPr>
        <w:jc w:val="center"/>
        <w:rPr>
          <w:rFonts w:cs="Arial"/>
          <w:sz w:val="24"/>
          <w:szCs w:val="24"/>
        </w:rPr>
      </w:pPr>
    </w:p>
    <w:p>
      <w:pPr>
        <w:jc w:val="center"/>
      </w:pPr>
      <w:r>
        <w:rPr>
          <w:rFonts w:hint="eastAsia"/>
        </w:rPr>
        <w:t>摘要</w:t>
      </w:r>
    </w:p>
    <w:p/>
    <w:p>
      <w:pPr>
        <w:ind w:firstLine="420" w:firstLineChars="200"/>
      </w:pPr>
      <w:r>
        <w:rPr>
          <w:rFonts w:hint="eastAsia"/>
        </w:rPr>
        <w:t>央地关系改革是化解地方政府债务问题的关键。本文基于空间政治经济学视角，分析了2015年新《预算法》实施对改善地方政府债务空间结构的作用，并为适应长期、全局、多维目标的央地关系改革提供理论支持和政策建议。防范化解中国的地方政府债务风险，短期内应该强化财政纪律和打破中央对地方政府债务的隐性担保（“软预算约束”），长期则应该加快全国统一大市场建设，充分发挥经济集聚功能，优化地方政府债务的空间结构，建立地方财政与实体经济的良性循环。本文在理顺大国治理的空间逻辑基础上，提出通过深入推进央地关系改革，将有助于地方政府转变增长模式并稳步化解政府债务风险，最终实现区域优势互补的经济高质量发展。</w:t>
      </w:r>
    </w:p>
    <w:p>
      <w:pPr>
        <w:ind w:firstLine="420" w:firstLineChars="200"/>
      </w:pPr>
    </w:p>
    <w:p>
      <w:r>
        <w:rPr>
          <w:rFonts w:hint="eastAsia"/>
        </w:rPr>
        <w:t>关键词：央地关系；地方债务；财税体制改革；高质量发展</w:t>
      </w:r>
    </w:p>
    <w:p>
      <w:pPr>
        <w:jc w:val="both"/>
        <w:rPr>
          <w:rFonts w:hint="eastAsia" w:cs="Arial"/>
          <w:sz w:val="24"/>
          <w:szCs w:val="24"/>
        </w:rPr>
      </w:pPr>
    </w:p>
    <w:p>
      <w:pPr>
        <w:ind w:firstLine="420"/>
        <w:rPr>
          <w:rFonts w:cs="Arial"/>
        </w:rPr>
      </w:pPr>
    </w:p>
    <w:p>
      <w:pPr>
        <w:jc w:val="center"/>
        <w:rPr>
          <w:rFonts w:cs="Arial"/>
        </w:rPr>
      </w:pPr>
      <w:r>
        <w:rPr>
          <w:rFonts w:cs="Arial"/>
        </w:rPr>
        <w:t>一、引言</w:t>
      </w:r>
    </w:p>
    <w:p>
      <w:pPr>
        <w:rPr>
          <w:rFonts w:cs="Arial"/>
        </w:rPr>
      </w:pPr>
    </w:p>
    <w:p>
      <w:pPr>
        <w:ind w:firstLine="420"/>
        <w:rPr>
          <w:rFonts w:cs="Arial"/>
        </w:rPr>
      </w:pPr>
      <w:r>
        <w:rPr>
          <w:rFonts w:hint="eastAsia" w:cs="Arial"/>
        </w:rPr>
        <w:t>当前，地方政府债务成为中国经济高质量发展的待解难题。在结构调整转型升级的现阶段，政府需要在实现化债目标的同时推进高质量发展，这对财政制度设计和治理水平都提出了更高要求。随着经济从高速增长阶段转向高质量增长阶段，原本隐藏在快速增长下的经济结构性问题日渐浮现。尤其当依托房地产行业的土地财政和土地融资退潮后，部分地方政府的债务压力高企，通过财政支出提供公共品和促进经济发展的能力急剧下降。缓解地方政府债务压力既需要短期策略，也需要长期策略。短期内，中央帮助地方渡过债务难关可能在所难免，但从长期来看，这又将产生一些后遗症。一方面，即使中央可以在短期内通过转移支付来均衡各地财力，却很难在长期完全覆盖地方财政造血不足产生的支出缺口。另一方面，尽管向欠发达地区的转移支付是必需的，但过度使用则会引发道德风险，加深地方政府对上级财政转移支付的依赖，反而可能产生支出效率低，地方政府保增长动力不足的问题。</w:t>
      </w:r>
    </w:p>
    <w:p>
      <w:pPr>
        <w:ind w:firstLine="420"/>
        <w:rPr>
          <w:rFonts w:cs="Arial"/>
        </w:rPr>
      </w:pPr>
      <w:r>
        <w:rPr>
          <w:rFonts w:hint="eastAsia" w:cs="Arial"/>
        </w:rPr>
        <w:t>如何正确处理地方政府债务和经济高质量发展之间的关系？本文认为，要从根本上治理地方政府债务，必须追本溯源，从中央政府和地方政府之间的财政关系出发，建立对大国财政运行的“空间逻辑”和债务功能的正确理解，推进央地关系向有利于长期、全局、多维发展的方向改革。其中，短期内防范债务风险的核心是严肃财政纪律、打破中央对地方政府的隐性担保（“软预算约束”）。而长期来看，统一化债和发展双目标的关键是优化地方债务的空间结构，建立地方财政与实体经济间的正向循环。具体而言，在中央财政不予兜底、流程合法规范的前提下，原则上应支持经济相对发达、人口长期流入、投资回报率较高的地区通过发债来落实积极的地区财政政策，促进劳动力和建设用地指标等生产要素按市场回报高效集聚，带动全国经济增长。而对于自然条件欠佳、人口持续流出、投资回报偏低的地区，则应在审慎管理风险的基础上，寻求适宜自身条件的产业转型机会，适当提前规划减量，避免低效的投资和基础设施建设。同时，全国各地要更多追求教育、医疗卫生、环境保护等</w:t>
      </w:r>
      <w:r>
        <w:rPr>
          <w:rFonts w:cs="Arial"/>
        </w:rPr>
        <w:t>GDP</w:t>
      </w:r>
      <w:r>
        <w:rPr>
          <w:rFonts w:hint="eastAsia" w:cs="Arial"/>
        </w:rPr>
        <w:t>以外的多维发</w:t>
      </w:r>
      <w:r>
        <w:rPr>
          <w:rFonts w:cs="Arial"/>
        </w:rPr>
        <w:t>展目标</w:t>
      </w:r>
      <w:r>
        <w:rPr>
          <w:rFonts w:hint="eastAsia" w:cs="Arial"/>
        </w:rPr>
        <w:t>，对于这些具有空间外部性</w:t>
      </w:r>
      <w:r>
        <w:rPr>
          <w:rStyle w:val="22"/>
          <w:rFonts w:hint="eastAsia" w:cs="Arial"/>
        </w:rPr>
        <w:footnoteReference w:id="1"/>
      </w:r>
      <w:r>
        <w:rPr>
          <w:rFonts w:hint="eastAsia" w:cs="Arial"/>
        </w:rPr>
        <w:t>的发展目标，</w:t>
      </w:r>
      <w:r>
        <w:rPr>
          <w:rFonts w:cs="Arial"/>
        </w:rPr>
        <w:t>中央</w:t>
      </w:r>
      <w:r>
        <w:rPr>
          <w:rFonts w:hint="eastAsia" w:cs="Arial"/>
        </w:rPr>
        <w:t>要更多承担支出责任，并为地方</w:t>
      </w:r>
      <w:r>
        <w:rPr>
          <w:rFonts w:cs="Arial"/>
        </w:rPr>
        <w:t>提供相应的奖补激励。</w:t>
      </w:r>
    </w:p>
    <w:p>
      <w:pPr>
        <w:ind w:firstLine="420"/>
        <w:rPr>
          <w:rFonts w:cs="Arial"/>
        </w:rPr>
      </w:pPr>
      <w:r>
        <w:rPr>
          <w:rFonts w:cs="Arial"/>
        </w:rPr>
        <w:t>本文基于一般均衡视角，梳理央地关系如何作用于地方政府债务和高质量发展，为</w:t>
      </w:r>
      <w:r>
        <w:rPr>
          <w:rFonts w:hint="eastAsia" w:cs="Arial"/>
        </w:rPr>
        <w:t>“</w:t>
      </w:r>
      <w:r>
        <w:rPr>
          <w:rFonts w:cs="Arial"/>
        </w:rPr>
        <w:t>在高质量发展中推进债务风险化解</w:t>
      </w:r>
      <w:r>
        <w:rPr>
          <w:rFonts w:hint="eastAsia" w:cs="Arial"/>
        </w:rPr>
        <w:t>”</w:t>
      </w:r>
      <w:r>
        <w:rPr>
          <w:rStyle w:val="22"/>
          <w:rFonts w:cs="Arial"/>
        </w:rPr>
        <w:footnoteReference w:id="2"/>
      </w:r>
      <w:r>
        <w:rPr>
          <w:rFonts w:cs="Arial"/>
        </w:rPr>
        <w:t>提供</w:t>
      </w:r>
      <w:r>
        <w:rPr>
          <w:rFonts w:hint="eastAsia" w:cs="Arial"/>
        </w:rPr>
        <w:t>理论支撑和</w:t>
      </w:r>
      <w:r>
        <w:rPr>
          <w:rFonts w:cs="Arial"/>
        </w:rPr>
        <w:t>政策建议。</w:t>
      </w:r>
      <w:r>
        <w:rPr>
          <w:rFonts w:hint="eastAsia" w:cs="Arial"/>
        </w:rPr>
        <w:t>在理论上，本文延续了</w:t>
      </w:r>
      <w:r>
        <w:rPr>
          <w:rFonts w:cs="Arial"/>
        </w:rPr>
        <w:t>空间政治经济学</w:t>
      </w:r>
      <w:r>
        <w:rPr>
          <w:rFonts w:hint="eastAsia" w:cs="Arial"/>
        </w:rPr>
        <w:t>的</w:t>
      </w:r>
      <w:r>
        <w:rPr>
          <w:rFonts w:cs="Arial"/>
        </w:rPr>
        <w:t>框架</w:t>
      </w:r>
      <w:r>
        <w:rPr>
          <w:rFonts w:hint="eastAsia" w:cs="Arial"/>
        </w:rPr>
        <w:t>，并拓展到了空间财政的维度。</w:t>
      </w:r>
      <w:r>
        <w:rPr>
          <w:rFonts w:cs="Arial"/>
        </w:rPr>
        <w:t>余文内容结构如下：第二部分从欠发达地区</w:t>
      </w:r>
      <w:r>
        <w:rPr>
          <w:rFonts w:hint="eastAsia" w:cs="Arial"/>
        </w:rPr>
        <w:t>面临的“</w:t>
      </w:r>
      <w:r>
        <w:rPr>
          <w:rFonts w:cs="Arial"/>
        </w:rPr>
        <w:t>增长</w:t>
      </w:r>
      <w:r>
        <w:rPr>
          <w:rFonts w:hint="eastAsia" w:cs="Arial"/>
        </w:rPr>
        <w:t>—</w:t>
      </w:r>
      <w:r>
        <w:rPr>
          <w:rFonts w:cs="Arial"/>
        </w:rPr>
        <w:t>补贴</w:t>
      </w:r>
      <w:r>
        <w:rPr>
          <w:rFonts w:hint="eastAsia" w:cs="Arial"/>
        </w:rPr>
        <w:t>—</w:t>
      </w:r>
      <w:r>
        <w:rPr>
          <w:rFonts w:cs="Arial"/>
        </w:rPr>
        <w:t>债务的三角悖论</w:t>
      </w:r>
      <w:r>
        <w:rPr>
          <w:rFonts w:hint="eastAsia" w:cs="Arial"/>
        </w:rPr>
        <w:t>”</w:t>
      </w:r>
      <w:r>
        <w:rPr>
          <w:rFonts w:cs="Arial"/>
        </w:rPr>
        <w:t>出发，论证央地关系对</w:t>
      </w:r>
      <w:r>
        <w:rPr>
          <w:rFonts w:hint="eastAsia" w:cs="Arial"/>
        </w:rPr>
        <w:t>中</w:t>
      </w:r>
      <w:r>
        <w:rPr>
          <w:rFonts w:cs="Arial"/>
        </w:rPr>
        <w:t>国地方债务空间格局的影响</w:t>
      </w:r>
      <w:r>
        <w:rPr>
          <w:rFonts w:hint="eastAsia" w:cs="Arial"/>
        </w:rPr>
        <w:t>，</w:t>
      </w:r>
      <w:r>
        <w:rPr>
          <w:rFonts w:cs="Arial"/>
        </w:rPr>
        <w:t>以及从央地关系入手治理地方债务的必要性。2015年</w:t>
      </w:r>
      <w:r>
        <w:rPr>
          <w:rFonts w:hint="eastAsia" w:cs="Arial"/>
        </w:rPr>
        <w:t>的</w:t>
      </w:r>
      <w:r>
        <w:rPr>
          <w:rFonts w:cs="Arial"/>
        </w:rPr>
        <w:t>新《预算法》</w:t>
      </w:r>
      <w:r>
        <w:rPr>
          <w:rFonts w:hint="eastAsia" w:cs="Arial"/>
        </w:rPr>
        <w:t>调整了</w:t>
      </w:r>
      <w:r>
        <w:rPr>
          <w:rFonts w:cs="Arial"/>
        </w:rPr>
        <w:t>央地财政关系</w:t>
      </w:r>
      <w:r>
        <w:rPr>
          <w:rFonts w:hint="eastAsia" w:cs="Arial"/>
        </w:rPr>
        <w:t>，</w:t>
      </w:r>
      <w:r>
        <w:rPr>
          <w:rFonts w:cs="Arial"/>
        </w:rPr>
        <w:t>在优化地方债务空间结构、提升资源配置效率等方面起到了一定效果</w:t>
      </w:r>
      <w:r>
        <w:rPr>
          <w:rFonts w:hint="eastAsia" w:cs="Arial"/>
        </w:rPr>
        <w:t>，本文</w:t>
      </w:r>
      <w:r>
        <w:rPr>
          <w:rFonts w:cs="Arial"/>
        </w:rPr>
        <w:t>第三部分</w:t>
      </w:r>
      <w:r>
        <w:rPr>
          <w:rFonts w:hint="eastAsia" w:cs="Arial"/>
        </w:rPr>
        <w:t>将对此进行分析</w:t>
      </w:r>
      <w:r>
        <w:rPr>
          <w:rFonts w:cs="Arial"/>
        </w:rPr>
        <w:t>。第四部分</w:t>
      </w:r>
      <w:r>
        <w:rPr>
          <w:rFonts w:hint="eastAsia" w:cs="Arial"/>
        </w:rPr>
        <w:t>总结了兼顾</w:t>
      </w:r>
      <w:r>
        <w:rPr>
          <w:rFonts w:cs="Arial"/>
        </w:rPr>
        <w:t>地方政府化债和</w:t>
      </w:r>
      <w:r>
        <w:rPr>
          <w:rFonts w:hint="eastAsia" w:cs="Arial"/>
        </w:rPr>
        <w:t>发展</w:t>
      </w:r>
      <w:r>
        <w:rPr>
          <w:rFonts w:cs="Arial"/>
        </w:rPr>
        <w:t>目标所需的央地关系特征，并提出有助于地方财政向高质量发展平稳过渡的具体措施。第五部分总结全文。</w:t>
      </w:r>
    </w:p>
    <w:p>
      <w:pPr>
        <w:rPr>
          <w:rFonts w:cs="Arial"/>
        </w:rPr>
      </w:pPr>
    </w:p>
    <w:p>
      <w:pPr>
        <w:jc w:val="center"/>
        <w:rPr>
          <w:rFonts w:cs="Arial"/>
        </w:rPr>
      </w:pPr>
      <w:r>
        <w:rPr>
          <w:rFonts w:cs="Arial"/>
        </w:rPr>
        <w:t>二、央地关系</w:t>
      </w:r>
      <w:r>
        <w:rPr>
          <w:rFonts w:hint="eastAsia" w:cs="Arial"/>
        </w:rPr>
        <w:t>对</w:t>
      </w:r>
      <w:r>
        <w:rPr>
          <w:rFonts w:cs="Arial"/>
        </w:rPr>
        <w:t>地方经济增长和债务格局</w:t>
      </w:r>
      <w:r>
        <w:rPr>
          <w:rFonts w:hint="eastAsia" w:cs="Arial"/>
        </w:rPr>
        <w:t>的影响</w:t>
      </w:r>
    </w:p>
    <w:p>
      <w:pPr>
        <w:rPr>
          <w:rFonts w:cs="Arial"/>
        </w:rPr>
      </w:pPr>
      <w:r>
        <w:rPr>
          <w:rFonts w:cs="Arial"/>
        </w:rPr>
        <w:tab/>
      </w:r>
    </w:p>
    <w:p>
      <w:pPr>
        <w:ind w:firstLine="420"/>
        <w:rPr>
          <w:rFonts w:cs="Arial"/>
        </w:rPr>
      </w:pPr>
      <w:r>
        <w:rPr>
          <w:rFonts w:hint="eastAsia" w:cs="Arial"/>
        </w:rPr>
        <w:t>央地关系是大国治理的核心问题之一，而影响中央和地方各级政府博弈力量的关键在于财政权力的纵向分配。在现代市场经济的背景下，取消地方财权意味着任何财政支出都需自上而下层层审批，地方政府不能发挥自身信息优势或主观能动性，中央政府则不得不付出高昂的信息成本和监管成本，极大损失经济效率。相反，如果中央财政收入占比太低、不具备集权能力，中央就无法克服地方的一致行动难题和及时对全国性的重大支出需求做出反应，并可能导致地方各自为政，而教育等具有明显空间正外部性的公共品供给不足。中国</w:t>
      </w:r>
      <w:r>
        <w:rPr>
          <w:rFonts w:cs="Arial"/>
        </w:rPr>
        <w:t>1994年的分税制改革通</w:t>
      </w:r>
      <w:r>
        <w:rPr>
          <w:rFonts w:hint="eastAsia" w:cs="Arial"/>
        </w:rPr>
        <w:t>过提升中央在财政收入中的分配比例，极大改善了中央政府的国家治理能力和宏观调控效果，并逐渐形成了由中央来调节地区间财力的财政转移支付制度。但由于分税制改革之后，央地间的事权与财权并未充分匹配，支出责任仍主要落在地方政府上，地方政府的财政收入分成却减少（王永钦等，2015），这在长期加剧了地方政府的支出压力和借债建设的动机。</w:t>
      </w:r>
    </w:p>
    <w:p>
      <w:pPr>
        <w:ind w:firstLine="420"/>
        <w:rPr>
          <w:rFonts w:cs="Arial"/>
        </w:rPr>
      </w:pPr>
      <w:r>
        <w:rPr>
          <w:rFonts w:hint="eastAsia" w:cs="Arial"/>
        </w:rPr>
        <w:t>自上世纪</w:t>
      </w:r>
      <w:r>
        <w:rPr>
          <w:rFonts w:cs="Arial"/>
        </w:rPr>
        <w:t>90</w:t>
      </w:r>
      <w:r>
        <w:rPr>
          <w:rFonts w:hint="eastAsia" w:cs="Arial"/>
        </w:rPr>
        <w:t>年代以来，地方政府纷纷将加快城镇化定为发展路线。给定分税制下的央地关系，地方政府一方面积极出让土地以增加自身收入——土地出让收入归地方使用，——另一方面通过借债来增加资金杠杆，用投资拉动经济增长。其实，在2015年新《预算法》实施前，除少数试点外，中央并没有授予地方政府发行政府债券的权力。但借助地方城投平台</w:t>
      </w:r>
      <w:r>
        <w:rPr>
          <w:vertAlign w:val="superscript"/>
        </w:rPr>
        <w:footnoteReference w:id="3"/>
      </w:r>
      <w:r>
        <w:rPr>
          <w:rFonts w:hint="eastAsia" w:cs="Arial"/>
        </w:rPr>
        <w:t>，地方政府可以用企业贷款和城投债等形式进行融资，用于基础建设等具有公共性质的投资项目，而且定价中包含地方政府信用的隐性担保（钟宁桦等，2021），构成地方政府隐性债务。长远来看，只有当人口和产业不断集聚，产生真实的用地需求，土地出让收入才是可持续的，而以债务驱动的投资项目，需要足够高的回报率才能偿还本息。事实上，地方政府驱动的许多新城新区建设却违背市场规律，选址离中心城区过远，地广人稀，无足够企业入驻，甚至沦为空城。这种盲目的新城建设在短暂刺激GDP之后，远远不能带来预期的经济收益，却恶化了当地的财政收支平衡和偿债能力，累积成严峻的隐性债务风险。在内陆地区、人口流出地和中小城市，由“远、大”的新城建设导致的地方政府债务尤其严重（常晨和陆铭，2017；彭冲和陆铭，2019）。</w:t>
      </w:r>
    </w:p>
    <w:p>
      <w:pPr>
        <w:ind w:firstLine="420"/>
        <w:rPr>
          <w:rFonts w:cs="Arial"/>
        </w:rPr>
      </w:pPr>
      <w:r>
        <w:rPr>
          <w:rFonts w:hint="eastAsia" w:cs="Arial"/>
        </w:rPr>
        <w:t>为什么经济欠发达地区明明缺乏收入来源，却敢于借债发展呢？在2015年新《预算法》出台前，中央对地方存在隐性担保的制度环境，使欠发达地区敢于大规模举债而不计后果。中央对地方财政转移支付，本意是平衡各地财力，促进基本公共服务均等化，实现共同富裕。但在单一制国家里，地方政府行为往往也代表着中央政府的信用，中央政府最终要为地方政府造成的后果负责。在法律尚未明确央地债务关系的背景下，地方政府和市场的普遍预期都是一旦地方投资失败而无力偿还债务，中央政府会出面调度资源，对地方政府进行救助，而作为借债和投资决策主体的地方政府不会受到实质性惩罚。这样一来，地方政府实际的预算约束并不是自身财力或经济潜力，而是要加上中央能为地方承担的支出，造成事实上的“软预算约束”。通俗地来说，地方政府认为，花出去的是中央的钱，未来还不上的债务有中央兜底。加上地方官员只追求任期内的短期政绩，较少考虑经济增长的可持续性</w:t>
      </w:r>
      <w:r>
        <w:rPr>
          <w:rFonts w:cs="Arial"/>
        </w:rPr>
        <w:t>。横向比较</w:t>
      </w:r>
      <w:r>
        <w:rPr>
          <w:rFonts w:hint="eastAsia" w:cs="Arial"/>
        </w:rPr>
        <w:t>的话</w:t>
      </w:r>
      <w:r>
        <w:rPr>
          <w:rFonts w:cs="Arial"/>
        </w:rPr>
        <w:t>，</w:t>
      </w:r>
      <w:r>
        <w:rPr>
          <w:rFonts w:hint="eastAsia" w:cs="Arial"/>
        </w:rPr>
        <w:t>在财政运转更</w:t>
      </w:r>
      <w:r>
        <w:rPr>
          <w:rFonts w:cs="Arial"/>
        </w:rPr>
        <w:t>依赖中央转移支付的欠发达地区，中央对地方</w:t>
      </w:r>
      <w:r>
        <w:rPr>
          <w:rFonts w:hint="eastAsia" w:cs="Arial"/>
        </w:rPr>
        <w:t>的转移支付更容易增加地方政府债务（钟辉勇和陆铭，2015）</w:t>
      </w:r>
      <w:r>
        <w:rPr>
          <w:rFonts w:cs="Arial"/>
        </w:rPr>
        <w:t>。</w:t>
      </w:r>
    </w:p>
    <w:p>
      <w:pPr>
        <w:ind w:firstLine="420"/>
        <w:rPr>
          <w:rFonts w:cs="Arial"/>
        </w:rPr>
      </w:pPr>
      <w:r>
        <w:rPr>
          <w:rFonts w:hint="eastAsia" w:cs="Arial"/>
        </w:rPr>
        <w:t>在一个像中国这样地方间自然条件差异巨大的国家，欠发达地区面临着“增长—</w:t>
      </w:r>
      <w:r>
        <w:rPr>
          <w:rFonts w:cs="Arial"/>
        </w:rPr>
        <w:t>补贴</w:t>
      </w:r>
      <w:r>
        <w:rPr>
          <w:rFonts w:hint="eastAsia" w:cs="Arial"/>
        </w:rPr>
        <w:t>—</w:t>
      </w:r>
      <w:r>
        <w:rPr>
          <w:rFonts w:cs="Arial"/>
        </w:rPr>
        <w:t>债务的三角悖论</w:t>
      </w:r>
      <w:r>
        <w:rPr>
          <w:rFonts w:hint="eastAsia" w:cs="Arial"/>
        </w:rPr>
        <w:t>”（钟辉勇等，2022）。欠发达地区往往自然条件较差，增长动力偏弱，但同时当地人口向外流出又存在体制、文化等多重障碍，如果要缩小与发达地区的差距，只能依赖上级政府的财政转移支付，或者自已通过借债来为发展而融资。</w:t>
      </w:r>
      <w:r>
        <w:rPr>
          <w:rFonts w:cs="Arial"/>
        </w:rPr>
        <w:t>如果</w:t>
      </w:r>
      <w:r>
        <w:rPr>
          <w:rFonts w:hint="eastAsia" w:cs="Arial"/>
        </w:rPr>
        <w:t>放任</w:t>
      </w:r>
      <w:r>
        <w:rPr>
          <w:rFonts w:cs="Arial"/>
        </w:rPr>
        <w:t>欠发达地区</w:t>
      </w:r>
      <w:r>
        <w:rPr>
          <w:rFonts w:hint="eastAsia" w:cs="Arial"/>
        </w:rPr>
        <w:t>延续</w:t>
      </w:r>
      <w:r>
        <w:rPr>
          <w:rFonts w:cs="Arial"/>
        </w:rPr>
        <w:t>以</w:t>
      </w:r>
      <w:r>
        <w:rPr>
          <w:rFonts w:hint="eastAsia" w:cs="Arial"/>
        </w:rPr>
        <w:t>“</w:t>
      </w:r>
      <w:r>
        <w:rPr>
          <w:rFonts w:cs="Arial"/>
        </w:rPr>
        <w:t>债务</w:t>
      </w:r>
      <w:r>
        <w:rPr>
          <w:rFonts w:hint="eastAsia" w:cs="Arial"/>
        </w:rPr>
        <w:t>”</w:t>
      </w:r>
      <w:r>
        <w:rPr>
          <w:rFonts w:cs="Arial"/>
        </w:rPr>
        <w:t>换</w:t>
      </w:r>
      <w:r>
        <w:rPr>
          <w:rFonts w:hint="eastAsia" w:cs="Arial"/>
        </w:rPr>
        <w:t>“增长”的</w:t>
      </w:r>
      <w:r>
        <w:rPr>
          <w:rFonts w:cs="Arial"/>
        </w:rPr>
        <w:t>旧模式，中央</w:t>
      </w:r>
      <w:r>
        <w:rPr>
          <w:rFonts w:hint="eastAsia" w:cs="Arial"/>
        </w:rPr>
        <w:t>就不得不</w:t>
      </w:r>
      <w:r>
        <w:rPr>
          <w:rFonts w:cs="Arial"/>
        </w:rPr>
        <w:t>对地方</w:t>
      </w:r>
      <w:r>
        <w:rPr>
          <w:rFonts w:hint="eastAsia" w:cs="Arial"/>
        </w:rPr>
        <w:t>提供</w:t>
      </w:r>
      <w:r>
        <w:rPr>
          <w:rFonts w:cs="Arial"/>
        </w:rPr>
        <w:t>源源不断的财政转移支付（</w:t>
      </w:r>
      <w:r>
        <w:rPr>
          <w:rFonts w:hint="eastAsia" w:cs="Arial"/>
        </w:rPr>
        <w:t>“补贴”）来支撑。</w:t>
      </w:r>
      <w:r>
        <w:rPr>
          <w:rFonts w:cs="Arial"/>
        </w:rPr>
        <w:t>财政转移支付</w:t>
      </w:r>
      <w:r>
        <w:rPr>
          <w:rFonts w:hint="eastAsia" w:cs="Arial"/>
        </w:rPr>
        <w:t>不仅会加剧欠发达地区地方政府的道德风险和路径依赖，削弱其自身降本增效和经济转型的动力，而且，对那些为中央贡献净收入的发达地区，这种做法也会形成负面激励，加重这些地区的财政负担，抑制投资水平，最终对国家整体的生产效率和经济增长速度产生不利影响。从区域平衡发展的角度来看，统一的央地财政关系对不同地区产生了不对称的影响。因此，只有回到央地关系本身，完善央地互动的规则，才能逐渐弥合而不是继续扩大地区之间的效率差异，促进地方经济向高质量增长模式转变。</w:t>
      </w:r>
    </w:p>
    <w:p>
      <w:pPr>
        <w:ind w:firstLine="420"/>
        <w:rPr>
          <w:rFonts w:cs="Arial"/>
        </w:rPr>
      </w:pPr>
      <w:r>
        <w:rPr>
          <w:rFonts w:hint="eastAsia" w:cs="Arial"/>
        </w:rPr>
        <w:t>如何借助央地关系的改革，打破地方政府低效运用债务资金的杠杆螺旋呢？过往的经济学文献更多考察了地方政府横向竞争对税收的影响，但对央地之间如何博弈以及央地关系的纵向调整如何影响地方政府的横向竞争，仍有较大的探索空间（Agrawal et al., 2022）。现在经济面临的形势是，一方面，债务累积的地方经济增长乏力；另一方面，还能筹措到资金的地区疲于借新还旧，高质量投资不足。我们认为，解决这一问题的起点是要打破中央对地方的隐性担保。理想的状态是，只要去掉本不应存在的那部分软预算约束“补贴”，</w:t>
      </w:r>
      <w:r>
        <w:rPr>
          <w:rStyle w:val="22"/>
          <w:rFonts w:hint="eastAsia" w:cs="Arial"/>
        </w:rPr>
        <w:footnoteReference w:id="4"/>
      </w:r>
      <w:r>
        <w:rPr>
          <w:rFonts w:hint="eastAsia" w:cs="Arial"/>
        </w:rPr>
        <w:t>地方政府将更有动力将“债务”维持在和自身“增长”相适应的水平。国际上也有证据表明，打破中央对地方的救助承诺对控制地方债务水平有积极效果（Heinemann et al., 2018）。对于正常应给予的转移支付，则可以通过建立有效的财政转移支付制度，提高中央“补贴”的效率。换言之，补贴过去刺激了过度借债，但未来在打破中央对地方隐性担保的前提下，完全可以对地方政府产生正确的行为激励，调整地方政府对债务和增长的权衡方式。当财政转移支付被还原到促进公共服务均等化的功能，资金会流向更侧重长期回报的领域。这样就既能抑制地方过度借债，又能提升增长的质量和可持续性。自2015年新《预算法》出台，上述改革内容已有明确对应的法律法规和政策工具，在中短期内比较容易推进。</w:t>
      </w:r>
    </w:p>
    <w:p>
      <w:pPr>
        <w:ind w:firstLine="420"/>
        <w:rPr>
          <w:rFonts w:cs="Arial"/>
        </w:rPr>
      </w:pPr>
      <w:r>
        <w:rPr>
          <w:rFonts w:hint="eastAsia" w:cs="Arial"/>
        </w:rPr>
        <w:t>与此同时，在长期还要进一步完善财权与事权相匹配的央地财政制度，健全地方税体系、优化税制结构，从根本上解决地方收入来源不足的问题。虽然央地收入的分配比例也曾随“营改增”等改革重新调整，但地方收入分配比例小于中央、地方支出责任却大于中央支出责任的总体格局长期延续。随着经济不断发展、区域间分工深化，各地对理顺中央和地方财政分配关系的需求越发迫切。</w:t>
      </w:r>
      <w:r>
        <w:rPr>
          <w:rFonts w:cs="Arial"/>
        </w:rPr>
        <w:t>2019年设置的共同事权转移支付就促进了央地事权与财权趋向一致</w:t>
      </w:r>
      <w:r>
        <w:rPr>
          <w:rFonts w:hint="eastAsia" w:cs="Arial"/>
        </w:rPr>
        <w:t>。通过</w:t>
      </w:r>
      <w:r>
        <w:rPr>
          <w:rFonts w:cs="Arial"/>
        </w:rPr>
        <w:t>明确中央和地方政府</w:t>
      </w:r>
      <w:r>
        <w:rPr>
          <w:rFonts w:hint="eastAsia" w:cs="Arial"/>
        </w:rPr>
        <w:t>各自</w:t>
      </w:r>
      <w:r>
        <w:rPr>
          <w:rFonts w:cs="Arial"/>
        </w:rPr>
        <w:t>的支出责任和比例</w:t>
      </w:r>
      <w:r>
        <w:rPr>
          <w:rFonts w:hint="eastAsia" w:cs="Arial"/>
        </w:rPr>
        <w:t>，共同事权转移支付为具有空间外部性的基本</w:t>
      </w:r>
      <w:r>
        <w:rPr>
          <w:rFonts w:cs="Arial"/>
        </w:rPr>
        <w:t>公共服务</w:t>
      </w:r>
      <w:r>
        <w:rPr>
          <w:rFonts w:hint="eastAsia" w:cs="Arial"/>
        </w:rPr>
        <w:t>提供资金，同时避免</w:t>
      </w:r>
      <w:r>
        <w:rPr>
          <w:rFonts w:cs="Arial"/>
        </w:rPr>
        <w:t>专项转移支付</w:t>
      </w:r>
      <w:r>
        <w:rPr>
          <w:rFonts w:hint="eastAsia" w:cs="Arial"/>
        </w:rPr>
        <w:t>可能导致“</w:t>
      </w:r>
      <w:r>
        <w:rPr>
          <w:rFonts w:cs="Arial"/>
        </w:rPr>
        <w:t>跑部钱进</w:t>
      </w:r>
      <w:r>
        <w:rPr>
          <w:rFonts w:hint="eastAsia" w:cs="Arial"/>
        </w:rPr>
        <w:t>”</w:t>
      </w:r>
      <w:r>
        <w:rPr>
          <w:rFonts w:cs="Arial"/>
        </w:rPr>
        <w:t>的弊端。此外，</w:t>
      </w:r>
      <w:r>
        <w:rPr>
          <w:rFonts w:hint="eastAsia" w:cs="Arial"/>
        </w:rPr>
        <w:t>在中国</w:t>
      </w:r>
      <w:r>
        <w:rPr>
          <w:rFonts w:cs="Arial"/>
        </w:rPr>
        <w:t>深度参与国际贸易</w:t>
      </w:r>
      <w:r>
        <w:rPr>
          <w:rFonts w:hint="eastAsia" w:cs="Arial"/>
        </w:rPr>
        <w:t>的背景下，</w:t>
      </w:r>
      <w:r>
        <w:rPr>
          <w:rFonts w:cs="Arial"/>
        </w:rPr>
        <w:t>人口和经济活动</w:t>
      </w:r>
      <w:r>
        <w:rPr>
          <w:rFonts w:hint="eastAsia" w:cs="Arial"/>
        </w:rPr>
        <w:t>也正在</w:t>
      </w:r>
      <w:r>
        <w:rPr>
          <w:rFonts w:cs="Arial"/>
        </w:rPr>
        <w:t>向沿海和区域中心城市集聚</w:t>
      </w:r>
      <w:r>
        <w:rPr>
          <w:rFonts w:hint="eastAsia" w:cs="Arial"/>
        </w:rPr>
        <w:t>。</w:t>
      </w:r>
      <w:r>
        <w:rPr>
          <w:rFonts w:cs="Arial"/>
        </w:rPr>
        <w:t>相应地，在公共财政支出端</w:t>
      </w:r>
      <w:r>
        <w:rPr>
          <w:rFonts w:hint="eastAsia" w:cs="Arial"/>
        </w:rPr>
        <w:t>，中央政府</w:t>
      </w:r>
      <w:r>
        <w:rPr>
          <w:rFonts w:cs="Arial"/>
        </w:rPr>
        <w:t>还应推进</w:t>
      </w:r>
      <w:r>
        <w:rPr>
          <w:rFonts w:hint="eastAsia" w:cs="Arial"/>
        </w:rPr>
        <w:t>“</w:t>
      </w:r>
      <w:r>
        <w:rPr>
          <w:rFonts w:cs="Arial"/>
        </w:rPr>
        <w:t>钱随人走</w:t>
      </w:r>
      <w:r>
        <w:rPr>
          <w:rFonts w:hint="eastAsia" w:cs="Arial"/>
        </w:rPr>
        <w:t>”的改革</w:t>
      </w:r>
      <w:r>
        <w:rPr>
          <w:rFonts w:cs="Arial"/>
        </w:rPr>
        <w:t>，按照常住人口而非户籍人口来制定规划</w:t>
      </w:r>
      <w:r>
        <w:rPr>
          <w:rFonts w:hint="eastAsia" w:cs="Arial"/>
        </w:rPr>
        <w:t>，</w:t>
      </w:r>
      <w:r>
        <w:rPr>
          <w:rFonts w:cs="Arial"/>
        </w:rPr>
        <w:t>提供公共服务。这样做</w:t>
      </w:r>
      <w:r>
        <w:rPr>
          <w:rFonts w:hint="eastAsia" w:cs="Arial"/>
        </w:rPr>
        <w:t>才可以最终打破“增长—</w:t>
      </w:r>
      <w:r>
        <w:rPr>
          <w:rFonts w:cs="Arial"/>
        </w:rPr>
        <w:t>补贴</w:t>
      </w:r>
      <w:r>
        <w:rPr>
          <w:rFonts w:hint="eastAsia" w:cs="Arial"/>
        </w:rPr>
        <w:t>—</w:t>
      </w:r>
      <w:r>
        <w:rPr>
          <w:rFonts w:cs="Arial"/>
        </w:rPr>
        <w:t>债务的三角悖论</w:t>
      </w:r>
      <w:r>
        <w:rPr>
          <w:rFonts w:hint="eastAsia" w:cs="Arial"/>
        </w:rPr>
        <w:t>”（钟辉勇等，2022），也就是说，</w:t>
      </w:r>
      <w:r>
        <w:rPr>
          <w:rFonts w:cs="Arial"/>
        </w:rPr>
        <w:t>不仅可以减轻人口流出地区的支出负担</w:t>
      </w:r>
      <w:r>
        <w:rPr>
          <w:rFonts w:hint="eastAsia" w:cs="Arial"/>
        </w:rPr>
        <w:t>，</w:t>
      </w:r>
      <w:r>
        <w:rPr>
          <w:rFonts w:cs="Arial"/>
        </w:rPr>
        <w:t>压缩其实际所需的</w:t>
      </w:r>
      <w:r>
        <w:rPr>
          <w:rFonts w:hint="eastAsia" w:cs="Arial"/>
        </w:rPr>
        <w:t>“</w:t>
      </w:r>
      <w:r>
        <w:rPr>
          <w:rFonts w:cs="Arial"/>
        </w:rPr>
        <w:t>补贴</w:t>
      </w:r>
      <w:r>
        <w:rPr>
          <w:rFonts w:hint="eastAsia" w:cs="Arial"/>
        </w:rPr>
        <w:t>”</w:t>
      </w:r>
      <w:r>
        <w:rPr>
          <w:rFonts w:cs="Arial"/>
        </w:rPr>
        <w:t>和</w:t>
      </w:r>
      <w:r>
        <w:rPr>
          <w:rFonts w:hint="eastAsia" w:cs="Arial"/>
        </w:rPr>
        <w:t>“债务”</w:t>
      </w:r>
      <w:r>
        <w:rPr>
          <w:rFonts w:cs="Arial"/>
        </w:rPr>
        <w:t>，还可以提升人口流入地新市民实际享受的公共服务水平，促进人均意义上的</w:t>
      </w:r>
      <w:r>
        <w:rPr>
          <w:rFonts w:hint="eastAsia" w:cs="Arial"/>
        </w:rPr>
        <w:t>“</w:t>
      </w:r>
      <w:r>
        <w:rPr>
          <w:rFonts w:cs="Arial"/>
        </w:rPr>
        <w:t>增长</w:t>
      </w:r>
      <w:r>
        <w:rPr>
          <w:rFonts w:hint="eastAsia" w:cs="Arial"/>
        </w:rPr>
        <w:t>”和空间平衡发展。最后，中央应为地方设置更符合长期、全局、多维利益的考核目标，结合各地实际情况，不单纯以短期经济增长衡量表现，从而减少地方政府短视的投资决策。</w:t>
      </w:r>
    </w:p>
    <w:p>
      <w:pPr>
        <w:ind w:firstLine="420"/>
        <w:rPr>
          <w:rFonts w:cs="Arial"/>
        </w:rPr>
      </w:pPr>
      <w:r>
        <w:rPr>
          <w:rFonts w:hint="eastAsia" w:cs="Arial"/>
        </w:rPr>
        <w:t>近年来，中央政府已经注意到了解决金融和政府债务领域的道德风险问题的迫切性，强调不能用高债务来拉动经济增长等。</w:t>
      </w:r>
      <w:r>
        <w:rPr>
          <w:rFonts w:cs="Arial"/>
        </w:rPr>
        <w:t>2015的新《预算法》改革恰恰是想通过立法从根本上解决这个问题。下一节中，</w:t>
      </w:r>
      <w:r>
        <w:rPr>
          <w:rFonts w:hint="eastAsia" w:cs="Arial"/>
        </w:rPr>
        <w:t>我们</w:t>
      </w:r>
      <w:r>
        <w:rPr>
          <w:rFonts w:cs="Arial"/>
        </w:rPr>
        <w:t>将</w:t>
      </w:r>
      <w:r>
        <w:rPr>
          <w:rFonts w:hint="eastAsia" w:cs="Arial"/>
        </w:rPr>
        <w:t>分析</w:t>
      </w:r>
      <w:r>
        <w:rPr>
          <w:rFonts w:cs="Arial"/>
        </w:rPr>
        <w:t>新《预算法》推行后，地方政府隐性债务中的城投债在空间</w:t>
      </w:r>
      <w:r>
        <w:rPr>
          <w:rFonts w:ascii="宋体" w:hAnsi="宋体" w:cs="Arial"/>
        </w:rPr>
        <w:t>结构上发生了哪些变化</w:t>
      </w:r>
      <w:r>
        <w:rPr>
          <w:rFonts w:hint="eastAsia" w:ascii="宋体" w:hAnsi="宋体" w:cs="Arial"/>
        </w:rPr>
        <w:t>。有证据表明，</w:t>
      </w:r>
      <w:r>
        <w:rPr>
          <w:rFonts w:hint="eastAsia" w:ascii="宋体" w:hAnsi="宋体"/>
        </w:rPr>
        <w:t>中央政府的严格监管在一定程度上遏制了地方隐性债务存量的扩张，但高昂的债务利息成本依然对债务偿还的可持续性构成挑战（聂卓等，2023）。与此同时，尽管中央政府采取了多项措施，地方政府债务的结构性和区域性风险仍需持续关注（陶然和余家林，2024）。</w:t>
      </w:r>
      <w:r>
        <w:rPr>
          <w:rFonts w:hint="eastAsia" w:cs="Arial"/>
        </w:rPr>
        <w:t>这些事实反映出：第一，央地关系中还存在更深层的问题没有彻底解决；第二，当前的化债思路对区域间的差异尚未给予足够的重视和回应。从学理上来说，央地协同是空间政治经济学的核心问题，难在既要统一目标，又要因地制宜，在纵向的央地关系和横向的区域间关系两重维度上进行优化。从一般意义上来说，不论是美国等联邦制国家，还是欧盟这样的政治经济联盟，都在不同程度上面临中央和地方统筹博弈的问题，却往往缺乏进行全局改革的条件和力量。从这个角度来说，中国的央地改革既要发挥中央的协调作用，又要增强地方活力，防止地方利益与长期、全局、多维的国家利益形成冲突，这不但具有普遍的学术研究意义，还可为世界上的大国和区域治理提供启示（陆铭，2022）。</w:t>
      </w:r>
    </w:p>
    <w:p>
      <w:pPr>
        <w:ind w:firstLine="420"/>
        <w:rPr>
          <w:rFonts w:cs="Arial"/>
        </w:rPr>
      </w:pPr>
    </w:p>
    <w:p>
      <w:pPr>
        <w:jc w:val="center"/>
        <w:rPr>
          <w:rFonts w:cs="Arial"/>
        </w:rPr>
      </w:pPr>
      <w:r>
        <w:rPr>
          <w:rFonts w:cs="Arial"/>
        </w:rPr>
        <w:t>三、央地关系改革促进地方政府债务空间结构优化</w:t>
      </w:r>
    </w:p>
    <w:p>
      <w:pPr>
        <w:ind w:firstLine="420"/>
        <w:rPr>
          <w:rFonts w:cs="Arial"/>
        </w:rPr>
      </w:pPr>
    </w:p>
    <w:p>
      <w:pPr>
        <w:ind w:firstLine="420"/>
        <w:rPr>
          <w:rFonts w:cs="Arial"/>
        </w:rPr>
      </w:pPr>
      <w:r>
        <w:rPr>
          <w:rFonts w:cs="Arial"/>
        </w:rPr>
        <w:t>2015年修订的《预算法》是央地关系</w:t>
      </w:r>
      <w:r>
        <w:rPr>
          <w:rFonts w:hint="eastAsia" w:cs="Arial"/>
        </w:rPr>
        <w:t>在</w:t>
      </w:r>
      <w:r>
        <w:rPr>
          <w:rFonts w:cs="Arial"/>
        </w:rPr>
        <w:t>财政领域近期最重大的改革</w:t>
      </w:r>
      <w:r>
        <w:rPr>
          <w:rFonts w:hint="eastAsia" w:cs="Arial"/>
        </w:rPr>
        <w:t>之一。</w:t>
      </w:r>
      <w:r>
        <w:rPr>
          <w:rFonts w:cs="Arial"/>
        </w:rPr>
        <w:t>它在赋予地方政府合法举债权力的同时，</w:t>
      </w:r>
      <w:r>
        <w:rPr>
          <w:rFonts w:hint="eastAsia" w:cs="Arial"/>
        </w:rPr>
        <w:t>用</w:t>
      </w:r>
      <w:r>
        <w:rPr>
          <w:rFonts w:cs="Arial"/>
        </w:rPr>
        <w:t>法律</w:t>
      </w:r>
      <w:r>
        <w:rPr>
          <w:rFonts w:hint="eastAsia" w:cs="Arial"/>
        </w:rPr>
        <w:t>来</w:t>
      </w:r>
      <w:r>
        <w:rPr>
          <w:rFonts w:cs="Arial"/>
        </w:rPr>
        <w:t>约束地方政府对自身债务负责，试图将过去不透明、风险难以控制的隐性债务转变为可公开监管的显性债务。然而，由于历史遗留的隐性债务总量巨大</w:t>
      </w:r>
      <w:r>
        <w:rPr>
          <w:rFonts w:hint="eastAsia" w:cs="Arial"/>
        </w:rPr>
        <w:t>、</w:t>
      </w:r>
      <w:r>
        <w:rPr>
          <w:rFonts w:cs="Arial"/>
        </w:rPr>
        <w:t>情况复杂，</w:t>
      </w:r>
      <w:r>
        <w:rPr>
          <w:rFonts w:hint="eastAsia" w:cs="Arial"/>
        </w:rPr>
        <w:t>并非全部</w:t>
      </w:r>
      <w:r>
        <w:rPr>
          <w:rFonts w:cs="Arial"/>
        </w:rPr>
        <w:t>隐性债务</w:t>
      </w:r>
      <w:r>
        <w:rPr>
          <w:rFonts w:hint="eastAsia" w:cs="Arial"/>
        </w:rPr>
        <w:t>都</w:t>
      </w:r>
      <w:r>
        <w:rPr>
          <w:rFonts w:cs="Arial"/>
        </w:rPr>
        <w:t>被依法转化为了地方政府债务</w:t>
      </w:r>
      <w:r>
        <w:rPr>
          <w:rFonts w:hint="eastAsia" w:cs="Arial"/>
        </w:rPr>
        <w:t>。债务置换方案对隐性债务规模的影响也因地方担保能力而异（邱志刚等，2022）</w:t>
      </w:r>
      <w:r>
        <w:rPr>
          <w:rFonts w:cs="Arial"/>
        </w:rPr>
        <w:t>。考虑到城投债的利息普遍高于地方政府债券，</w:t>
      </w:r>
      <w:r>
        <w:rPr>
          <w:rFonts w:hint="eastAsia" w:cs="Arial"/>
        </w:rPr>
        <w:t>仅靠发行</w:t>
      </w:r>
      <w:r>
        <w:rPr>
          <w:rFonts w:cs="Arial"/>
        </w:rPr>
        <w:t>地方政府债券</w:t>
      </w:r>
      <w:r>
        <w:rPr>
          <w:rFonts w:hint="eastAsia" w:cs="Arial"/>
        </w:rPr>
        <w:t>来筹措资金，难以抵消过去利用</w:t>
      </w:r>
      <w:r>
        <w:rPr>
          <w:rFonts w:cs="Arial"/>
        </w:rPr>
        <w:t>城投平台融资的成本</w:t>
      </w:r>
      <w:r>
        <w:rPr>
          <w:rFonts w:hint="eastAsia" w:cs="Arial"/>
        </w:rPr>
        <w:t>，地方有继续通过城投债来</w:t>
      </w:r>
      <w:r>
        <w:rPr>
          <w:rFonts w:cs="Arial"/>
        </w:rPr>
        <w:t>借新还旧的需求</w:t>
      </w:r>
      <w:r>
        <w:rPr>
          <w:rFonts w:hint="eastAsia" w:cs="Arial"/>
        </w:rPr>
        <w:t>。因此，</w:t>
      </w:r>
      <w:r>
        <w:rPr>
          <w:rFonts w:cs="Arial"/>
        </w:rPr>
        <w:t>在新《预算法》</w:t>
      </w:r>
      <w:r>
        <w:rPr>
          <w:rFonts w:hint="eastAsia" w:cs="Arial"/>
        </w:rPr>
        <w:t>实施之后，</w:t>
      </w:r>
      <w:r>
        <w:rPr>
          <w:rFonts w:cs="Arial"/>
        </w:rPr>
        <w:t>城投债的发行规模仍在逐年增长，并没有因为政府债务范围的厘清而退出市</w:t>
      </w:r>
      <w:r>
        <w:rPr>
          <w:rFonts w:hint="eastAsia" w:cs="Arial"/>
        </w:rPr>
        <w:t>场。在这一渐进的化债过程中，地方政府（特别是欠发达地区）过度借债的道德风险是否得到控制？中央政府对地方政府债务的隐性担保是否被消除？债券市场的资金配置效率是否有所改善？这些都是需要实证研究来检验的问题。</w:t>
      </w:r>
    </w:p>
    <w:p>
      <w:pPr>
        <w:ind w:firstLine="420"/>
        <w:rPr>
          <w:rFonts w:cs="Arial"/>
        </w:rPr>
      </w:pPr>
      <w:r>
        <w:rPr>
          <w:rFonts w:hint="eastAsia" w:cs="Arial"/>
        </w:rPr>
        <w:t>借助</w:t>
      </w:r>
      <w:r>
        <w:rPr>
          <w:rFonts w:cs="Arial"/>
        </w:rPr>
        <w:t>Wind平台的城投债发行数据，</w:t>
      </w:r>
      <w:r>
        <w:rPr>
          <w:rFonts w:hint="eastAsia" w:cs="Arial"/>
        </w:rPr>
        <w:t>我们</w:t>
      </w:r>
      <w:r>
        <w:rPr>
          <w:rFonts w:cs="Arial"/>
        </w:rPr>
        <w:t>发现，新《预算法》实施后，中西部</w:t>
      </w:r>
      <w:r>
        <w:rPr>
          <w:rFonts w:hint="eastAsia" w:cs="Arial"/>
        </w:rPr>
        <w:t>和东北（以下简称中西部）</w:t>
      </w:r>
      <w:r>
        <w:rPr>
          <w:rFonts w:cs="Arial"/>
        </w:rPr>
        <w:t>地区的城投债发行金额相较于东部地区</w:t>
      </w:r>
      <w:r>
        <w:rPr>
          <w:rStyle w:val="22"/>
          <w:rFonts w:cs="Arial"/>
        </w:rPr>
        <w:footnoteReference w:id="5"/>
      </w:r>
      <w:r>
        <w:rPr>
          <w:rFonts w:cs="Arial"/>
        </w:rPr>
        <w:t>有明显的放缓，而中西部地区城投债在一级市场的发行利差相较于东部地区逐渐扩大。</w:t>
      </w:r>
      <w:r>
        <w:rPr>
          <w:rFonts w:hint="eastAsia" w:cs="Arial"/>
        </w:rPr>
        <w:t>在地区维度，</w:t>
      </w:r>
      <w:r>
        <w:rPr>
          <w:rFonts w:cs="Arial"/>
        </w:rPr>
        <w:t>如图1所示，在城投债总量增长的趋势中，新发行城投债的空间结构在2015年前后出现了明显的变化。在2015年之前，东部和中西部的城投债发行</w:t>
      </w:r>
      <w:r>
        <w:rPr>
          <w:rFonts w:hint="eastAsia" w:cs="Arial"/>
        </w:rPr>
        <w:t>规模</w:t>
      </w:r>
      <w:r>
        <w:rPr>
          <w:rFonts w:cs="Arial"/>
        </w:rPr>
        <w:t>占比相对持平。然而，2015年之后，东部地区的城投债发行</w:t>
      </w:r>
      <w:r>
        <w:rPr>
          <w:rFonts w:hint="eastAsia" w:cs="Arial"/>
        </w:rPr>
        <w:t>规模</w:t>
      </w:r>
      <w:r>
        <w:rPr>
          <w:rFonts w:cs="Arial"/>
        </w:rPr>
        <w:t>占比持续走高，意味着有更多的城投债由东部地区的城投平台发行，同时有更多的资金流向了东部地区的地方政府。</w:t>
      </w:r>
    </w:p>
    <w:p>
      <w:pPr>
        <w:ind w:firstLine="420"/>
        <w:rPr>
          <w:rFonts w:cs="Arial"/>
        </w:rPr>
      </w:pPr>
      <w:r>
        <w:rPr>
          <w:rFonts w:hint="eastAsia" w:cs="Arial"/>
        </w:rPr>
        <w:t>在价格方面，</w:t>
      </w:r>
      <w:r>
        <w:rPr>
          <w:rFonts w:cs="Arial"/>
        </w:rPr>
        <w:t>图2中的发行利差</w:t>
      </w:r>
      <w:r>
        <w:rPr>
          <w:rFonts w:hint="eastAsia" w:cs="Arial"/>
        </w:rPr>
        <w:t>是用单只城投债的发行参考票面利率减去无风险利率（即相应期限的国债利率），再根据城投平台所属地区和发行规模加权平均求得。发行利差可以反映一级市场投资者对债券风险的评估。从图</w:t>
      </w:r>
      <w:r>
        <w:rPr>
          <w:rFonts w:cs="Arial"/>
        </w:rPr>
        <w:t>2可知，在2015年之前，东部城投债利差虽然略低于中西部，但差距不大而且在不断缩小</w:t>
      </w:r>
      <w:r>
        <w:rPr>
          <w:rFonts w:hint="eastAsia" w:cs="Arial"/>
        </w:rPr>
        <w:t>，</w:t>
      </w:r>
      <w:r>
        <w:rPr>
          <w:rFonts w:cs="Arial"/>
        </w:rPr>
        <w:t>说明尽管东部和中西部地区的经济发展水平有很大不同，市场</w:t>
      </w:r>
      <w:r>
        <w:rPr>
          <w:rFonts w:hint="eastAsia" w:cs="Arial"/>
        </w:rPr>
        <w:t>却</w:t>
      </w:r>
      <w:r>
        <w:rPr>
          <w:rFonts w:cs="Arial"/>
        </w:rPr>
        <w:t>并不认为</w:t>
      </w:r>
      <w:r>
        <w:rPr>
          <w:rFonts w:hint="eastAsia" w:cs="Arial"/>
        </w:rPr>
        <w:t>二者的</w:t>
      </w:r>
      <w:r>
        <w:rPr>
          <w:rFonts w:cs="Arial"/>
        </w:rPr>
        <w:t>城投债违约风险有明显差异。</w:t>
      </w:r>
      <w:r>
        <w:rPr>
          <w:rFonts w:hint="eastAsia" w:cs="Arial"/>
        </w:rPr>
        <w:t>这是因为</w:t>
      </w:r>
      <w:r>
        <w:rPr>
          <w:rFonts w:cs="Arial"/>
        </w:rPr>
        <w:t>城投债以地方政府信用作为背书，在中央对地方存在隐性救助承诺的情况下，不同地区的地方政府信用背后实质上都无限接近中央政府的信用。</w:t>
      </w:r>
      <w:r>
        <w:rPr>
          <w:rFonts w:hint="eastAsia" w:cs="Arial"/>
        </w:rPr>
        <w:t>由此可见，</w:t>
      </w:r>
      <w:r>
        <w:rPr>
          <w:rFonts w:cs="Arial"/>
        </w:rPr>
        <w:t>中央对</w:t>
      </w:r>
      <w:r>
        <w:rPr>
          <w:rFonts w:hint="eastAsia" w:cs="Arial"/>
        </w:rPr>
        <w:t>中西部地区的转移支付在刺激地方政府借债的同时，也加强了市场对这些地区的信心，弱化了债券价格的信号机制。</w:t>
      </w:r>
      <w:r>
        <w:rPr>
          <w:rFonts w:cs="Arial"/>
        </w:rPr>
        <w:t>新《预算法》</w:t>
      </w:r>
      <w:r>
        <w:rPr>
          <w:rFonts w:hint="eastAsia" w:cs="Arial"/>
        </w:rPr>
        <w:t>改革后，</w:t>
      </w:r>
      <w:r>
        <w:rPr>
          <w:rFonts w:cs="Arial"/>
        </w:rPr>
        <w:t>中央政府</w:t>
      </w:r>
      <w:r>
        <w:rPr>
          <w:rFonts w:hint="eastAsia" w:cs="Arial"/>
        </w:rPr>
        <w:t>明确</w:t>
      </w:r>
      <w:r>
        <w:rPr>
          <w:rFonts w:cs="Arial"/>
        </w:rPr>
        <w:t>不再负担地方政府债务，地方政府</w:t>
      </w:r>
      <w:r>
        <w:rPr>
          <w:rFonts w:hint="eastAsia" w:cs="Arial"/>
        </w:rPr>
        <w:t>信用</w:t>
      </w:r>
      <w:r>
        <w:rPr>
          <w:rFonts w:cs="Arial"/>
        </w:rPr>
        <w:t>之间的质量差异就在价格中体现了出来。东部地区</w:t>
      </w:r>
      <w:r>
        <w:rPr>
          <w:rFonts w:hint="eastAsia" w:cs="Arial"/>
        </w:rPr>
        <w:t>的</w:t>
      </w:r>
      <w:r>
        <w:rPr>
          <w:rFonts w:cs="Arial"/>
        </w:rPr>
        <w:t>城投债背后</w:t>
      </w:r>
      <w:r>
        <w:rPr>
          <w:rFonts w:hint="eastAsia" w:cs="Arial"/>
        </w:rPr>
        <w:t>，</w:t>
      </w:r>
      <w:r>
        <w:rPr>
          <w:rFonts w:cs="Arial"/>
        </w:rPr>
        <w:t>是风险更低的投资项目</w:t>
      </w:r>
      <w:r>
        <w:rPr>
          <w:rFonts w:hint="eastAsia" w:cs="Arial"/>
        </w:rPr>
        <w:t>和更充足的地方财力</w:t>
      </w:r>
      <w:r>
        <w:rPr>
          <w:rFonts w:cs="Arial"/>
        </w:rPr>
        <w:t>，利差</w:t>
      </w:r>
      <w:r>
        <w:rPr>
          <w:rFonts w:hint="eastAsia" w:cs="Arial"/>
        </w:rPr>
        <w:t>降幅更大。而</w:t>
      </w:r>
      <w:r>
        <w:rPr>
          <w:rFonts w:cs="Arial"/>
        </w:rPr>
        <w:t>针对本级财力不足的中西部地区发行的城投债，市场开始要求</w:t>
      </w:r>
      <w:r>
        <w:rPr>
          <w:rFonts w:hint="eastAsia" w:cs="Arial"/>
        </w:rPr>
        <w:t>相对</w:t>
      </w:r>
      <w:r>
        <w:rPr>
          <w:rFonts w:cs="Arial"/>
        </w:rPr>
        <w:t>更高的风险溢价。</w:t>
      </w:r>
      <w:r>
        <w:rPr>
          <w:rFonts w:hint="eastAsia" w:cs="Arial"/>
        </w:rPr>
        <w:t>所以，</w:t>
      </w:r>
      <w:r>
        <w:rPr>
          <w:rFonts w:cs="Arial"/>
        </w:rPr>
        <w:t>东部和中西部地区城投债发行利差的分化</w:t>
      </w:r>
      <w:r>
        <w:rPr>
          <w:rFonts w:hint="eastAsia" w:cs="Arial"/>
        </w:rPr>
        <w:t>从</w:t>
      </w:r>
      <w:r>
        <w:rPr>
          <w:rFonts w:cs="Arial"/>
        </w:rPr>
        <w:t>2015年开始凸显。</w:t>
      </w:r>
    </w:p>
    <w:p>
      <w:pPr>
        <w:rPr>
          <w:rFonts w:cs="Arial"/>
        </w:rPr>
      </w:pPr>
    </w:p>
    <w:p>
      <w:pPr>
        <w:ind w:firstLine="420"/>
        <w:rPr>
          <w:rFonts w:cs="Arial"/>
        </w:rPr>
      </w:pPr>
    </w:p>
    <w:p>
      <w:pPr>
        <w:rPr>
          <w:rFonts w:cs="Arial"/>
        </w:rPr>
      </w:pPr>
      <w:r>
        <w:rPr>
          <w:rFonts w:cs="Arial"/>
          <w14:ligatures w14:val="none"/>
        </w:rPr>
        <w:drawing>
          <wp:inline distT="0" distB="0" distL="0" distR="0">
            <wp:extent cx="2472690" cy="1648460"/>
            <wp:effectExtent l="0" t="0" r="3810" b="8890"/>
            <wp:docPr id="1806662815" name="Picture 3" descr="A line graph with number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662815" name="Picture 3" descr="A line graph with numbers and a line&#10;&#10;Description automatically generated"/>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473200" cy="1648800"/>
                    </a:xfrm>
                    <a:prstGeom prst="rect">
                      <a:avLst/>
                    </a:prstGeom>
                  </pic:spPr>
                </pic:pic>
              </a:graphicData>
            </a:graphic>
          </wp:inline>
        </w:drawing>
      </w:r>
      <w:r>
        <w:rPr>
          <w:rFonts w:cs="Arial"/>
        </w:rPr>
        <w:t xml:space="preserve"> </w:t>
      </w:r>
      <w:r>
        <w:rPr>
          <w:rFonts w:cs="Arial"/>
          <w14:ligatures w14:val="none"/>
        </w:rPr>
        <w:drawing>
          <wp:inline distT="0" distB="0" distL="0" distR="0">
            <wp:extent cx="2472690" cy="1648460"/>
            <wp:effectExtent l="0" t="0" r="3810" b="8890"/>
            <wp:docPr id="997390435" name="Picture 2" descr="A line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390435" name="Picture 2" descr="A line graph with numbers and lines&#10;&#10;Description automatically generated"/>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473200" cy="1648800"/>
                    </a:xfrm>
                    <a:prstGeom prst="rect">
                      <a:avLst/>
                    </a:prstGeom>
                  </pic:spPr>
                </pic:pic>
              </a:graphicData>
            </a:graphic>
          </wp:inline>
        </w:drawing>
      </w:r>
    </w:p>
    <w:p>
      <w:pPr>
        <w:rPr>
          <w:rFonts w:cs="Arial"/>
        </w:rPr>
      </w:pPr>
      <w:r>
        <w:rPr>
          <w:rFonts w:cs="Arial"/>
        </w:rPr>
        <w:tab/>
      </w:r>
      <w:r>
        <w:rPr>
          <w:rFonts w:hint="eastAsia" w:cs="Arial"/>
        </w:rPr>
        <w:t>图1</w:t>
      </w:r>
      <w:r>
        <w:rPr>
          <w:rFonts w:cs="Arial"/>
        </w:rPr>
        <w:tab/>
      </w:r>
      <w:r>
        <w:rPr>
          <w:rFonts w:hint="eastAsia" w:cs="Arial"/>
        </w:rPr>
        <w:t>地区间城投债发行规模占比差异</w:t>
      </w:r>
      <w:r>
        <w:rPr>
          <w:rFonts w:cs="Arial"/>
        </w:rPr>
        <w:tab/>
      </w:r>
      <w:r>
        <w:rPr>
          <w:rFonts w:hint="eastAsia" w:cs="Arial"/>
        </w:rPr>
        <w:t xml:space="preserve">    图2 地区间城投债发行利差差异</w:t>
      </w:r>
    </w:p>
    <w:p>
      <w:pPr>
        <w:rPr>
          <w:rFonts w:cs="Arial"/>
        </w:rPr>
      </w:pPr>
    </w:p>
    <w:p>
      <w:pPr>
        <w:ind w:firstLine="420"/>
        <w:rPr>
          <w:rFonts w:cs="Arial"/>
        </w:rPr>
      </w:pPr>
      <w:r>
        <w:rPr>
          <w:rFonts w:hint="eastAsia" w:cs="Arial"/>
        </w:rPr>
        <w:t>尽管以地理划分比较简单，但考虑到东部和中西部地区在人口和经济密度上的显著差异，比较二者能直观地反映新《预算法》带来的变化。首先，债券价格作为市场信号变得更加有效，促进资金流向风险较低、经济发展条件更好的东部地区。其次，城投债作为地方政府隐性债务的重要组成部分，虽然总量未减少，但其空间结构开始优化。第三，改革之后，中西部城投债融资成本相对于东部地区变高，表明中央对地方政府的隐性救助预期在一定程度上被削弱，从而缓解了欠发达地区地方政府过度借债的道德风险。</w:t>
      </w:r>
    </w:p>
    <w:p>
      <w:pPr>
        <w:ind w:firstLine="420"/>
        <w:rPr>
          <w:rFonts w:cs="Arial"/>
        </w:rPr>
      </w:pPr>
      <w:r>
        <w:rPr>
          <w:rFonts w:hint="eastAsia" w:cs="Arial"/>
        </w:rPr>
        <w:t>此外，在微观层面，城投平台的总资产状况在</w:t>
      </w:r>
      <w:r>
        <w:rPr>
          <w:rFonts w:cs="Arial"/>
        </w:rPr>
        <w:t>2015年后</w:t>
      </w:r>
      <w:r>
        <w:rPr>
          <w:rFonts w:hint="eastAsia" w:cs="Arial"/>
        </w:rPr>
        <w:t>也发生了</w:t>
      </w:r>
      <w:r>
        <w:rPr>
          <w:rFonts w:cs="Arial"/>
        </w:rPr>
        <w:t>结构性变化。城投平台在债券发行和存续期间必须披露财务信息</w:t>
      </w:r>
      <w:r>
        <w:rPr>
          <w:rFonts w:hint="eastAsia" w:cs="Arial"/>
        </w:rPr>
        <w:t>。</w:t>
      </w:r>
      <w:r>
        <w:rPr>
          <w:rFonts w:cs="Arial"/>
        </w:rPr>
        <w:t>我们以新《预算法》实施为分水岭，对比了2015年前后</w:t>
      </w:r>
      <w:r>
        <w:rPr>
          <w:rFonts w:hint="eastAsia" w:cs="Arial"/>
        </w:rPr>
        <w:t>，</w:t>
      </w:r>
      <w:r>
        <w:rPr>
          <w:rFonts w:cs="Arial"/>
        </w:rPr>
        <w:t>东部和中西部城投平台经过双侧1%缩尾处理</w:t>
      </w:r>
      <w:r>
        <w:rPr>
          <w:rFonts w:hint="eastAsia" w:cs="Arial"/>
        </w:rPr>
        <w:t>后</w:t>
      </w:r>
      <w:r>
        <w:rPr>
          <w:rFonts w:cs="Arial"/>
        </w:rPr>
        <w:t>的总资产情况。本文将2010至2014年间曾发行债券且2015年后未再</w:t>
      </w:r>
      <w:r>
        <w:rPr>
          <w:rFonts w:hint="eastAsia" w:cs="Arial"/>
        </w:rPr>
        <w:t>有</w:t>
      </w:r>
      <w:r>
        <w:rPr>
          <w:rFonts w:cs="Arial"/>
        </w:rPr>
        <w:t>发行的城投平台定义为</w:t>
      </w:r>
      <w:r>
        <w:rPr>
          <w:rFonts w:hint="eastAsia" w:cs="Arial"/>
        </w:rPr>
        <w:t>“</w:t>
      </w:r>
      <w:r>
        <w:rPr>
          <w:rFonts w:cs="Arial"/>
        </w:rPr>
        <w:t>退出</w:t>
      </w:r>
      <w:r>
        <w:rPr>
          <w:rFonts w:hint="eastAsia" w:cs="Arial"/>
        </w:rPr>
        <w:t>”</w:t>
      </w:r>
      <w:r>
        <w:rPr>
          <w:rFonts w:cs="Arial"/>
        </w:rPr>
        <w:t>市场；如果在2015年前后都有债券发行，定义为</w:t>
      </w:r>
      <w:r>
        <w:rPr>
          <w:rFonts w:hint="eastAsia" w:cs="Arial"/>
        </w:rPr>
        <w:t>“</w:t>
      </w:r>
      <w:r>
        <w:rPr>
          <w:rFonts w:cs="Arial"/>
        </w:rPr>
        <w:t>持续</w:t>
      </w:r>
      <w:r>
        <w:rPr>
          <w:rFonts w:hint="eastAsia" w:cs="Arial"/>
        </w:rPr>
        <w:t>”</w:t>
      </w:r>
      <w:r>
        <w:rPr>
          <w:rFonts w:cs="Arial"/>
        </w:rPr>
        <w:t>；</w:t>
      </w:r>
      <w:r>
        <w:rPr>
          <w:rFonts w:hint="eastAsia" w:cs="Arial"/>
        </w:rPr>
        <w:t>而</w:t>
      </w:r>
      <w:r>
        <w:rPr>
          <w:rFonts w:cs="Arial"/>
        </w:rPr>
        <w:t>在2015年后首次发行债券的平台</w:t>
      </w:r>
      <w:r>
        <w:rPr>
          <w:rFonts w:hint="eastAsia" w:cs="Arial"/>
        </w:rPr>
        <w:t>，则</w:t>
      </w:r>
      <w:r>
        <w:rPr>
          <w:rFonts w:cs="Arial"/>
        </w:rPr>
        <w:t>定义为</w:t>
      </w:r>
      <w:r>
        <w:rPr>
          <w:rFonts w:hint="eastAsia" w:cs="Arial"/>
        </w:rPr>
        <w:t>“</w:t>
      </w:r>
      <w:r>
        <w:rPr>
          <w:rFonts w:cs="Arial"/>
        </w:rPr>
        <w:t>新增</w:t>
      </w:r>
      <w:r>
        <w:rPr>
          <w:rFonts w:hint="eastAsia" w:cs="Arial"/>
        </w:rPr>
        <w:t>”</w:t>
      </w:r>
      <w:r>
        <w:rPr>
          <w:rFonts w:cs="Arial"/>
        </w:rPr>
        <w:t>。如图3所示，一方面，活跃在城投债市场的平台总资产水平在2015年后显著提升；另一方面</w:t>
      </w:r>
      <w:r>
        <w:rPr>
          <w:rFonts w:hint="eastAsia" w:cs="Arial"/>
        </w:rPr>
        <w:t>，</w:t>
      </w:r>
      <w:r>
        <w:rPr>
          <w:rFonts w:cs="Arial"/>
        </w:rPr>
        <w:t>2010至2014年发行过债券</w:t>
      </w:r>
      <w:r>
        <w:rPr>
          <w:rFonts w:hint="eastAsia" w:cs="Arial"/>
        </w:rPr>
        <w:t>并</w:t>
      </w:r>
      <w:r>
        <w:rPr>
          <w:rFonts w:cs="Arial"/>
        </w:rPr>
        <w:t>且在新《预算法》后继续运作的平台，往往是资产规模较大的平台，这说明改革起到了一定的筛选作用。</w:t>
      </w:r>
      <w:r>
        <w:rPr>
          <w:rFonts w:hint="eastAsia" w:cs="Arial"/>
        </w:rPr>
        <w:t>综合以上</w:t>
      </w:r>
      <w:r>
        <w:rPr>
          <w:rFonts w:cs="Arial"/>
        </w:rPr>
        <w:t>证据，</w:t>
      </w:r>
      <w:r>
        <w:rPr>
          <w:rFonts w:hint="eastAsia" w:cs="Arial"/>
        </w:rPr>
        <w:t>明确</w:t>
      </w:r>
      <w:r>
        <w:rPr>
          <w:rFonts w:cs="Arial"/>
        </w:rPr>
        <w:t>中央和地方政府债务责任</w:t>
      </w:r>
      <w:r>
        <w:rPr>
          <w:rFonts w:hint="eastAsia" w:cs="Arial"/>
        </w:rPr>
        <w:t>对城投债市场化运行产生了积极影响。</w:t>
      </w:r>
      <w:r>
        <w:rPr>
          <w:rStyle w:val="22"/>
          <w:rFonts w:hint="eastAsia" w:cs="Arial"/>
        </w:rPr>
        <w:footnoteReference w:id="6"/>
      </w:r>
      <w:r>
        <w:rPr>
          <w:rFonts w:hint="eastAsia" w:cs="Arial"/>
        </w:rPr>
        <w:t>其中，更规范的城投平台财务状况是城投债空间分布变化的重要机制之一，并且这种变化是通过影响地方政府的自主行动逻辑来实现的。</w:t>
      </w:r>
    </w:p>
    <w:p>
      <w:pPr>
        <w:ind w:firstLine="420"/>
        <w:jc w:val="center"/>
        <w:rPr>
          <w:rFonts w:cs="Arial"/>
        </w:rPr>
      </w:pPr>
      <w:r>
        <w:rPr>
          <w:rFonts w:cs="Arial"/>
        </w:rPr>
        <w:drawing>
          <wp:inline distT="0" distB="0" distL="0" distR="0">
            <wp:extent cx="2746375" cy="1831975"/>
            <wp:effectExtent l="0" t="0" r="0" b="0"/>
            <wp:docPr id="1124024298" name="Picture 7" descr="A graph of different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024298" name="Picture 7" descr="A graph of different numbers&#10;&#10;Description automatically generated with medium confidence"/>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746800" cy="1832400"/>
                    </a:xfrm>
                    <a:prstGeom prst="rect">
                      <a:avLst/>
                    </a:prstGeom>
                  </pic:spPr>
                </pic:pic>
              </a:graphicData>
            </a:graphic>
          </wp:inline>
        </w:drawing>
      </w:r>
    </w:p>
    <w:p>
      <w:pPr>
        <w:ind w:firstLine="420"/>
        <w:jc w:val="center"/>
        <w:rPr>
          <w:rFonts w:cs="Arial"/>
        </w:rPr>
      </w:pPr>
      <w:r>
        <w:rPr>
          <w:rFonts w:hint="eastAsia" w:cs="Arial"/>
        </w:rPr>
        <w:t>图3 地区间城投平台资产状况比较</w:t>
      </w:r>
    </w:p>
    <w:p>
      <w:pPr>
        <w:rPr>
          <w:rFonts w:cs="Arial"/>
        </w:rPr>
      </w:pPr>
    </w:p>
    <w:p>
      <w:pPr>
        <w:ind w:firstLine="420"/>
        <w:rPr>
          <w:rFonts w:cs="Arial"/>
        </w:rPr>
      </w:pPr>
      <w:r>
        <w:rPr>
          <w:rFonts w:hint="eastAsia" w:cs="Arial"/>
        </w:rPr>
        <w:t>为什么新《预算法》这样的央地关系调整可以重塑地方政府行为呢？对应欠发达地区债务风险积累的三层逻辑，我们分别探讨改革带来的具体变化。首先，地方债务形成积极还是恶性的循环，关键在于投资回报与债务增长的相对速度。如果投资回报率持续高于债务利息，地方债务从长期来看是可持续的，债务绝对水平的增长不会引发重大风险。即使短期出现流动性困难，也能通过其他融资选项和债务重组方案来解决，这与经济发达地区的情况较为接近。相反，如果投资回报率持续低于预期，无法覆盖债务成本，地方政府面临的就不仅是流动性挑战，还有更深层的偿还能力问题。在全球化深入发展的大背景下，地理位置依然在很大程度上决定了投资对产出的拉动作用（陆铭等，2019）。相较而言，沿海地区和大城市附近的人口流入地区因其强大的规模经济效应，债务投资往往有足够的经济回报。而人口持续流出的欠发达内陆地区，由于自然地理条件、基础设施、人力资本和产业链配套较弱，债务驱动的投资很难产生相当的经济效益。新《预算法》通过更严格的债务管理和预算透明度要求，限制欠发达地区地方政府将资金投向预期回报不明确的项目，可避免无效和过度借债，防止投资回报率和债务利息之间的差距不断扩大。</w:t>
      </w:r>
    </w:p>
    <w:p>
      <w:pPr>
        <w:ind w:firstLine="420"/>
        <w:rPr>
          <w:rFonts w:cs="Arial"/>
        </w:rPr>
      </w:pPr>
      <w:r>
        <w:rPr>
          <w:rFonts w:hint="eastAsia" w:cs="Arial"/>
        </w:rPr>
        <w:t>此外，地方政府的投资回报率受到统一货币区内劳动力流动障碍的影响。此处，我们再次强调人们在论及欠发达地区的债务问题时一直忽视的视角。在统一货币区中，如果地区间劳动生产率差异巨大且生产要素的流动受限，地方经济对外部冲击的应对灵活性不足，难以通过独立的货币政策（如货币贬值和降低利率）应对负面冲击。因此，在统一货币区内，劳动力的地区间流动可以帮助受负面冲击的地区减少冲击的影响，而长期内可实现地区间劳动生产率和人均收入的收敛，不至于让欠发达地区面临汇率过高的困境（</w:t>
      </w:r>
      <w:r>
        <w:rPr>
          <w:rFonts w:cs="Arial"/>
        </w:rPr>
        <w:t xml:space="preserve">Mundell, 1961; </w:t>
      </w:r>
      <w:r>
        <w:rPr>
          <w:rFonts w:hint="eastAsia" w:cs="Arial"/>
        </w:rPr>
        <w:t>李鹏飞和陆铭</w:t>
      </w:r>
      <w:r>
        <w:rPr>
          <w:rFonts w:cs="Arial"/>
        </w:rPr>
        <w:t xml:space="preserve">，2022; </w:t>
      </w:r>
      <w:r>
        <w:rPr>
          <w:rFonts w:hint="eastAsia" w:cs="Arial"/>
        </w:rPr>
        <w:t>钟辉勇等，</w:t>
      </w:r>
      <w:r>
        <w:rPr>
          <w:rFonts w:cs="Arial"/>
        </w:rPr>
        <w:t>2022</w:t>
      </w:r>
      <w:r>
        <w:rPr>
          <w:rFonts w:hint="eastAsia" w:cs="Arial"/>
        </w:rPr>
        <w:t>）。在中国，尽管户籍制度改革正在逐步推进，但在人口流入的经济发达地区，子女入学门槛等与户籍挂钩的待遇差别仍限制着劳动力的自由流入。相应地，欠发达地区的税收创造能力有限，却因难以在发达地区长期定居的中老年劳动力回流，承担了更多的公共服务供给压力和财政支出责任。如果人口不能自由流出，则该地区的劳动生产率和人均GDP势必较低。在这种情况下，即使劳动力与资本是互补的，增加投资可以增加经济总量，但欠发达地区仍然无法克服经济发展条件、劳动力流动障碍和统一货币政策（不能独立地实施低利率或货币贬值）等因素对经济总量的制约</w:t>
      </w:r>
      <w:r>
        <w:rPr>
          <w:rStyle w:val="22"/>
          <w:rFonts w:cs="Arial"/>
        </w:rPr>
        <w:footnoteReference w:id="7"/>
      </w:r>
      <w:r>
        <w:rPr>
          <w:rFonts w:hint="eastAsia" w:cs="Arial"/>
        </w:rPr>
        <w:t>。因此，在统一货币区这一给定约束下，新《预算法》改革不仅要规范财政资源分配，还要配合户籍制度改革的深化，促进劳动力等生产要素的进一步流动和集聚，才能从提升投资回报率的角度改善地方政府债务可持续性。</w:t>
      </w:r>
    </w:p>
    <w:p>
      <w:pPr>
        <w:ind w:firstLine="420"/>
        <w:rPr>
          <w:rFonts w:cs="Arial"/>
        </w:rPr>
      </w:pPr>
      <w:r>
        <w:rPr>
          <w:rFonts w:hint="eastAsia" w:cs="Arial"/>
        </w:rPr>
        <w:t>最后，由于欠发达地区与发达地区在投资回报率上有很大差异，两类地区不仅在选择债务规模时持不同动机和心态，在处理债务问题时可调用的政策工具也截然不同。假使不打破“软预算约束”，放任地方债务增长，发达地区或许还有通过经济发展自我修正的空间，欠发达地区却几乎只能依靠中央的隐性担保和转移支付来摆脱困境。在新《预算法》实施前，欠发达地区地方政府基于项目失败后中央政府会进行救助的预期，不惜过度借债甚至违规借债来追求短期经济增长，埋下长期债务隐患。而新《预算法》首次以法律形式否定了中央政府对地方政府隐性债务的连带责任，规定“除发行地方政府债券外，地方政府及其所属部门不得以任何方式举借债务”，严格限制违法举债行为。新的预算约束框架不仅提高了地方政府的财政自主性，也加强了债务透明度。这样一来，地方政府过度借债的可能性在制度上被封堵。作为全国性法律，新《预算法》通过限制地方政府受道德风险驱动的行动能力，扭转了欠发达地区地方政府的债务融资冲动，出现了前文所述的债务空间结构和价格信号变化。</w:t>
      </w:r>
    </w:p>
    <w:p>
      <w:pPr>
        <w:ind w:firstLine="420"/>
        <w:rPr>
          <w:rFonts w:cs="Arial"/>
        </w:rPr>
      </w:pPr>
    </w:p>
    <w:p>
      <w:pPr>
        <w:jc w:val="center"/>
        <w:rPr>
          <w:rFonts w:cs="Arial"/>
        </w:rPr>
      </w:pPr>
      <w:r>
        <w:rPr>
          <w:rFonts w:cs="Arial"/>
        </w:rPr>
        <w:t>四、央地关系应协助地方政府兼顾化债和</w:t>
      </w:r>
      <w:r>
        <w:rPr>
          <w:rFonts w:hint="eastAsia" w:cs="Arial"/>
        </w:rPr>
        <w:t>发展</w:t>
      </w:r>
      <w:r>
        <w:rPr>
          <w:rFonts w:cs="Arial"/>
        </w:rPr>
        <w:t>目标</w:t>
      </w:r>
    </w:p>
    <w:p>
      <w:pPr>
        <w:rPr>
          <w:rFonts w:cs="Arial"/>
        </w:rPr>
      </w:pPr>
      <w:r>
        <w:rPr>
          <w:rFonts w:cs="Arial"/>
        </w:rPr>
        <w:tab/>
      </w:r>
    </w:p>
    <w:p>
      <w:pPr>
        <w:jc w:val="left"/>
        <w:rPr>
          <w:rFonts w:hint="eastAsia" w:ascii="方正屏显雅宋简体" w:hAnsi="方正屏显雅宋简体" w:eastAsia="方正屏显雅宋简体"/>
        </w:rPr>
      </w:pPr>
      <w:r>
        <w:rPr>
          <w:rFonts w:cs="Arial"/>
        </w:rPr>
        <w:tab/>
      </w:r>
      <w:r>
        <w:rPr>
          <w:rFonts w:hint="eastAsia" w:cs="Arial"/>
        </w:rPr>
        <w:t>习近平总书记指出，“地方政府要加快转变发展理念，不能再走靠高负债拉动增长的老路。”</w:t>
      </w:r>
      <w:r>
        <w:rPr>
          <w:rStyle w:val="22"/>
          <w:rFonts w:cs="Arial"/>
        </w:rPr>
        <w:footnoteReference w:id="8"/>
      </w:r>
      <w:r>
        <w:rPr>
          <w:rFonts w:hint="eastAsia" w:cs="Arial"/>
        </w:rPr>
        <w:t>新《预算法》以央地关系为抓手，对遏制欠发达地区隐性债务增长、优化统一大市场中的债务资金配置起到了一定效果，但地方政府债务的难题还没有彻底解决。如果增长乏力，通缩环境会放大债务对经济的压力（Fisher, 1933）。从中国实际来看</w:t>
      </w:r>
      <w:r>
        <w:rPr>
          <w:rFonts w:hint="eastAsia" w:ascii="宋体" w:hAnsi="宋体" w:cs="Arial"/>
        </w:rPr>
        <w:t>，</w:t>
      </w:r>
      <w:r>
        <w:rPr>
          <w:rFonts w:hint="eastAsia" w:ascii="宋体" w:hAnsi="宋体"/>
        </w:rPr>
        <w:t>地方政府债务增长还会对国企和非国企的全要素生产率带来不同影响</w:t>
      </w:r>
      <w:r>
        <w:rPr>
          <w:rFonts w:hint="eastAsia" w:cs="Arial"/>
        </w:rPr>
        <w:t>（吴敏等，2022）。因此，在化解地方政府债务之余，更本质的是提高债务的投资回报率、使债务有效服务于经济发展。客观来说，</w:t>
      </w:r>
      <w:r>
        <w:rPr>
          <w:rFonts w:cs="Arial"/>
        </w:rPr>
        <w:t>政府债务本身</w:t>
      </w:r>
      <w:r>
        <w:rPr>
          <w:rFonts w:hint="eastAsia" w:cs="Arial"/>
        </w:rPr>
        <w:t>绝非</w:t>
      </w:r>
      <w:r>
        <w:rPr>
          <w:rFonts w:cs="Arial"/>
        </w:rPr>
        <w:t>洪水猛兽，</w:t>
      </w:r>
      <w:r>
        <w:rPr>
          <w:rFonts w:hint="eastAsia" w:cs="Arial"/>
        </w:rPr>
        <w:t>只是过去中央对地方政府的“软预算约束”带来道德风险，使欠发达地区过度借债，地方政府债务增量偏离了经济基本面。随着中央政府对地方政府的救助预期被打破，短期内，政府要充分调动地方财政资源，尽量以市场化方案处置债务。而长期来看，重建债务和发展的良性循环，还需要进一步理顺央地关系，通过更深层的空间资源配置逻辑来影响经济结构。</w:t>
      </w:r>
    </w:p>
    <w:p>
      <w:pPr>
        <w:ind w:firstLine="420"/>
        <w:rPr>
          <w:rFonts w:cs="Arial"/>
        </w:rPr>
      </w:pPr>
      <w:r>
        <w:rPr>
          <w:rFonts w:cs="Arial"/>
        </w:rPr>
        <w:t>应该实行什么样的央地财政制度和债务</w:t>
      </w:r>
      <w:r>
        <w:rPr>
          <w:rFonts w:hint="eastAsia" w:cs="Arial"/>
        </w:rPr>
        <w:t>治理</w:t>
      </w:r>
      <w:r>
        <w:rPr>
          <w:rFonts w:cs="Arial"/>
        </w:rPr>
        <w:t>模式，其实取决于中国</w:t>
      </w:r>
      <w:r>
        <w:rPr>
          <w:rFonts w:hint="eastAsia" w:cs="Arial"/>
        </w:rPr>
        <w:t>这样一个大国</w:t>
      </w:r>
      <w:r>
        <w:rPr>
          <w:rFonts w:cs="Arial"/>
        </w:rPr>
        <w:t>需要什么样的发展。在</w:t>
      </w:r>
      <w:r>
        <w:rPr>
          <w:rFonts w:hint="eastAsia" w:cs="Arial"/>
        </w:rPr>
        <w:t>经济向高质量发展阶段转型的</w:t>
      </w:r>
      <w:r>
        <w:rPr>
          <w:rFonts w:cs="Arial"/>
        </w:rPr>
        <w:t>过程中，各区域的比较优势将进一步分化，形成从沿海</w:t>
      </w:r>
      <w:r>
        <w:rPr>
          <w:rFonts w:hint="eastAsia" w:cs="Arial"/>
        </w:rPr>
        <w:t>到</w:t>
      </w:r>
      <w:r>
        <w:rPr>
          <w:rFonts w:cs="Arial"/>
        </w:rPr>
        <w:t>内陆、从中心城市</w:t>
      </w:r>
      <w:r>
        <w:rPr>
          <w:rFonts w:hint="eastAsia" w:cs="Arial"/>
        </w:rPr>
        <w:t>到</w:t>
      </w:r>
      <w:r>
        <w:rPr>
          <w:rFonts w:cs="Arial"/>
        </w:rPr>
        <w:t>外围的</w:t>
      </w:r>
      <w:r>
        <w:rPr>
          <w:rFonts w:hint="eastAsia" w:cs="Arial"/>
        </w:rPr>
        <w:t>发展</w:t>
      </w:r>
      <w:r>
        <w:rPr>
          <w:rFonts w:cs="Arial"/>
        </w:rPr>
        <w:t>梯度</w:t>
      </w:r>
      <w:r>
        <w:rPr>
          <w:rFonts w:hint="eastAsia" w:cs="Arial"/>
        </w:rPr>
        <w:t>，呈现“双重中心—</w:t>
      </w:r>
      <w:r>
        <w:rPr>
          <w:rFonts w:cs="Arial"/>
        </w:rPr>
        <w:t>外围</w:t>
      </w:r>
      <w:r>
        <w:rPr>
          <w:rFonts w:hint="eastAsia" w:cs="Arial"/>
        </w:rPr>
        <w:t>”格局（陆铭等，2023）。空间财政应和经济模式一致，体现“</w:t>
      </w:r>
      <w:r>
        <w:rPr>
          <w:rFonts w:cs="Arial"/>
        </w:rPr>
        <w:t>分工与协调并重</w:t>
      </w:r>
      <w:r>
        <w:rPr>
          <w:rFonts w:hint="eastAsia" w:cs="Arial"/>
        </w:rPr>
        <w:t>”的思想</w:t>
      </w:r>
      <w:r>
        <w:rPr>
          <w:rFonts w:cs="Arial"/>
        </w:rPr>
        <w:t>。</w:t>
      </w:r>
    </w:p>
    <w:p>
      <w:pPr>
        <w:ind w:firstLine="420"/>
        <w:rPr>
          <w:rFonts w:cs="Arial"/>
        </w:rPr>
      </w:pPr>
      <w:r>
        <w:rPr>
          <w:rFonts w:hint="eastAsia" w:cs="Arial"/>
        </w:rPr>
        <w:t>中</w:t>
      </w:r>
      <w:r>
        <w:rPr>
          <w:rFonts w:cs="Arial"/>
        </w:rPr>
        <w:t>国的第一重</w:t>
      </w:r>
      <w:r>
        <w:rPr>
          <w:rFonts w:hint="eastAsia" w:cs="Arial"/>
        </w:rPr>
        <w:t>“</w:t>
      </w:r>
      <w:r>
        <w:rPr>
          <w:rFonts w:cs="Arial"/>
        </w:rPr>
        <w:t>中心—外围</w:t>
      </w:r>
      <w:r>
        <w:rPr>
          <w:rFonts w:hint="eastAsia" w:cs="Arial"/>
        </w:rPr>
        <w:t>”格局</w:t>
      </w:r>
      <w:r>
        <w:rPr>
          <w:rFonts w:cs="Arial"/>
        </w:rPr>
        <w:t>是从沿海地区（尤其是</w:t>
      </w:r>
      <w:r>
        <w:rPr>
          <w:rFonts w:hint="eastAsia" w:cs="Arial"/>
        </w:rPr>
        <w:t>作为</w:t>
      </w:r>
      <w:r>
        <w:rPr>
          <w:rFonts w:cs="Arial"/>
        </w:rPr>
        <w:t>国际贸易枢纽的海运大港口）到内陆地区。</w:t>
      </w:r>
      <w:r>
        <w:rPr>
          <w:rFonts w:hint="eastAsia" w:cs="Arial"/>
        </w:rPr>
        <w:t>从</w:t>
      </w:r>
      <w:r>
        <w:rPr>
          <w:rFonts w:cs="Arial"/>
        </w:rPr>
        <w:t>全国来看，沿海地区是经济发展和科技创新的中心，在引领国家经济增长</w:t>
      </w:r>
      <w:r>
        <w:rPr>
          <w:rFonts w:hint="eastAsia" w:cs="Arial"/>
        </w:rPr>
        <w:t>的同时，</w:t>
      </w:r>
      <w:r>
        <w:rPr>
          <w:rFonts w:cs="Arial"/>
        </w:rPr>
        <w:t>参与国际</w:t>
      </w:r>
      <w:r>
        <w:rPr>
          <w:rFonts w:hint="eastAsia" w:cs="Arial"/>
        </w:rPr>
        <w:t>竞争</w:t>
      </w:r>
      <w:r>
        <w:rPr>
          <w:rFonts w:cs="Arial"/>
        </w:rPr>
        <w:t>。第二重</w:t>
      </w:r>
      <w:r>
        <w:rPr>
          <w:rFonts w:hint="eastAsia" w:cs="Arial"/>
        </w:rPr>
        <w:t>“</w:t>
      </w:r>
      <w:r>
        <w:rPr>
          <w:rFonts w:cs="Arial"/>
        </w:rPr>
        <w:t>中心—外围</w:t>
      </w:r>
      <w:r>
        <w:rPr>
          <w:rFonts w:hint="eastAsia" w:cs="Arial"/>
        </w:rPr>
        <w:t>”格局</w:t>
      </w:r>
      <w:r>
        <w:rPr>
          <w:rFonts w:cs="Arial"/>
        </w:rPr>
        <w:t>是</w:t>
      </w:r>
      <w:r>
        <w:rPr>
          <w:rFonts w:hint="eastAsia" w:cs="Arial"/>
        </w:rPr>
        <w:t>从</w:t>
      </w:r>
      <w:r>
        <w:rPr>
          <w:rFonts w:cs="Arial"/>
        </w:rPr>
        <w:t>城市群内的</w:t>
      </w:r>
      <w:r>
        <w:rPr>
          <w:rFonts w:hint="eastAsia" w:cs="Arial"/>
        </w:rPr>
        <w:t>区域性大城市和经济中心，到周边</w:t>
      </w:r>
      <w:r>
        <w:rPr>
          <w:rFonts w:cs="Arial"/>
        </w:rPr>
        <w:t>更依赖国内市场和本地需求的中小城市</w:t>
      </w:r>
      <w:r>
        <w:rPr>
          <w:rFonts w:hint="eastAsia" w:cs="Arial"/>
        </w:rPr>
        <w:t>。“双重中心—</w:t>
      </w:r>
      <w:r>
        <w:rPr>
          <w:rFonts w:cs="Arial"/>
        </w:rPr>
        <w:t>外围</w:t>
      </w:r>
      <w:r>
        <w:rPr>
          <w:rFonts w:hint="eastAsia" w:cs="Arial"/>
        </w:rPr>
        <w:t>”</w:t>
      </w:r>
      <w:r>
        <w:rPr>
          <w:rFonts w:cs="Arial"/>
        </w:rPr>
        <w:t>模型的核心是在集聚中走向平衡、在发展中促进相对平衡，即</w:t>
      </w:r>
      <w:r>
        <w:rPr>
          <w:rFonts w:hint="eastAsia" w:cs="Arial"/>
        </w:rPr>
        <w:t>在生产要素合理流动的过程中实现</w:t>
      </w:r>
      <w:r>
        <w:rPr>
          <w:rFonts w:cs="Arial"/>
        </w:rPr>
        <w:t>经济集聚</w:t>
      </w:r>
      <w:r>
        <w:rPr>
          <w:rFonts w:hint="eastAsia" w:cs="Arial"/>
        </w:rPr>
        <w:t>，同时</w:t>
      </w:r>
      <w:r>
        <w:rPr>
          <w:rFonts w:cs="Arial"/>
        </w:rPr>
        <w:t>达到</w:t>
      </w:r>
      <w:r>
        <w:rPr>
          <w:rFonts w:hint="eastAsia" w:cs="Arial"/>
        </w:rPr>
        <w:t>地区间</w:t>
      </w:r>
      <w:r>
        <w:rPr>
          <w:rFonts w:cs="Arial"/>
        </w:rPr>
        <w:t>人均GDP的平衡，而不是简单地追求</w:t>
      </w:r>
      <w:r>
        <w:rPr>
          <w:rFonts w:hint="eastAsia" w:cs="Arial"/>
        </w:rPr>
        <w:t>地区间</w:t>
      </w:r>
      <w:r>
        <w:rPr>
          <w:rFonts w:cs="Arial"/>
        </w:rPr>
        <w:t>经济总量的</w:t>
      </w:r>
      <w:r>
        <w:rPr>
          <w:rFonts w:hint="eastAsia" w:cs="Arial"/>
        </w:rPr>
        <w:t>均匀分布</w:t>
      </w:r>
      <w:r>
        <w:rPr>
          <w:rFonts w:cs="Arial"/>
        </w:rPr>
        <w:t>。</w:t>
      </w:r>
      <w:r>
        <w:rPr>
          <w:rFonts w:hint="eastAsia" w:cs="Arial"/>
        </w:rPr>
        <w:t>类似地，治理地方债务的关键也不是简单地控制总量，而是优化结构和配置效率。宏观上</w:t>
      </w:r>
      <w:r>
        <w:rPr>
          <w:rFonts w:cs="Arial"/>
        </w:rPr>
        <w:t>，这需要央地关系</w:t>
      </w:r>
      <w:r>
        <w:rPr>
          <w:rFonts w:hint="eastAsia" w:cs="Arial"/>
        </w:rPr>
        <w:t>既能促进</w:t>
      </w:r>
      <w:r>
        <w:rPr>
          <w:rFonts w:cs="Arial"/>
        </w:rPr>
        <w:t>生产要素流动</w:t>
      </w:r>
      <w:r>
        <w:rPr>
          <w:rFonts w:hint="eastAsia" w:cs="Arial"/>
        </w:rPr>
        <w:t>和“</w:t>
      </w:r>
      <w:r>
        <w:rPr>
          <w:rFonts w:cs="Arial"/>
        </w:rPr>
        <w:t>分工</w:t>
      </w:r>
      <w:r>
        <w:rPr>
          <w:rFonts w:hint="eastAsia" w:cs="Arial"/>
        </w:rPr>
        <w:t>”</w:t>
      </w:r>
      <w:r>
        <w:rPr>
          <w:rFonts w:cs="Arial"/>
        </w:rPr>
        <w:t>深化，</w:t>
      </w:r>
      <w:r>
        <w:rPr>
          <w:rFonts w:hint="eastAsia" w:cs="Arial"/>
        </w:rPr>
        <w:t>又保证</w:t>
      </w:r>
      <w:r>
        <w:rPr>
          <w:rFonts w:cs="Arial"/>
        </w:rPr>
        <w:t>中央政府在财政领域充分发挥</w:t>
      </w:r>
      <w:r>
        <w:rPr>
          <w:rFonts w:hint="eastAsia" w:cs="Arial"/>
        </w:rPr>
        <w:t>“</w:t>
      </w:r>
      <w:r>
        <w:rPr>
          <w:rFonts w:cs="Arial"/>
        </w:rPr>
        <w:t>协调</w:t>
      </w:r>
      <w:r>
        <w:rPr>
          <w:rFonts w:hint="eastAsia" w:cs="Arial"/>
        </w:rPr>
        <w:t>”</w:t>
      </w:r>
      <w:r>
        <w:rPr>
          <w:rFonts w:cs="Arial"/>
        </w:rPr>
        <w:t>的作</w:t>
      </w:r>
      <w:r>
        <w:rPr>
          <w:rFonts w:hint="eastAsia" w:cs="Arial"/>
        </w:rPr>
        <w:t>用。比如在协调人口流入地和流出地发展的问题上，中央应着眼于统一大市场建设，利用中央财政和奖励推进户籍制度改革，促进全国范围内的人口自由流动和农业转移人口市民化，克服地方政府出于本地利益给移民设置的落户障碍。同时，面对人口流出地财政收入不足的情况，以</w:t>
      </w:r>
      <w:r>
        <w:rPr>
          <w:rFonts w:cs="Arial"/>
        </w:rPr>
        <w:t>中央</w:t>
      </w:r>
      <w:r>
        <w:rPr>
          <w:rFonts w:hint="eastAsia" w:cs="Arial"/>
        </w:rPr>
        <w:t>转移支付为政策工具，推动区域间</w:t>
      </w:r>
      <w:r>
        <w:rPr>
          <w:rFonts w:cs="Arial"/>
        </w:rPr>
        <w:t>的公共服务均等化，保障基本民生不依赖地方债务。</w:t>
      </w:r>
      <w:r>
        <w:rPr>
          <w:rFonts w:hint="eastAsia" w:cs="Arial"/>
        </w:rPr>
        <w:t>而在地方政府一级，中央</w:t>
      </w:r>
      <w:r>
        <w:rPr>
          <w:rFonts w:cs="Arial"/>
        </w:rPr>
        <w:t>则</w:t>
      </w:r>
      <w:r>
        <w:rPr>
          <w:rFonts w:hint="eastAsia" w:cs="Arial"/>
        </w:rPr>
        <w:t>应</w:t>
      </w:r>
      <w:r>
        <w:rPr>
          <w:rFonts w:cs="Arial"/>
        </w:rPr>
        <w:t>着重保护地方自主能动性</w:t>
      </w:r>
      <w:r>
        <w:rPr>
          <w:rFonts w:hint="eastAsia" w:cs="Arial"/>
        </w:rPr>
        <w:t>，鼓励地方根据人口流入、流出的实际情况和不同特性，实施符合</w:t>
      </w:r>
      <w:r>
        <w:rPr>
          <w:rFonts w:cs="Arial"/>
        </w:rPr>
        <w:t>市场规律</w:t>
      </w:r>
      <w:r>
        <w:rPr>
          <w:rFonts w:hint="eastAsia" w:cs="Arial"/>
        </w:rPr>
        <w:t>的、差异化的财政政策。</w:t>
      </w:r>
    </w:p>
    <w:p>
      <w:pPr>
        <w:ind w:firstLine="420"/>
        <w:rPr>
          <w:rFonts w:cs="Arial"/>
        </w:rPr>
      </w:pPr>
      <w:r>
        <w:rPr>
          <w:rFonts w:hint="eastAsia" w:cs="Arial"/>
        </w:rPr>
        <w:t>接下来，本文将介绍有利于</w:t>
      </w:r>
      <w:r>
        <w:rPr>
          <w:rFonts w:cs="Arial"/>
        </w:rPr>
        <w:t>长期、全局、多维发展的央地关系</w:t>
      </w:r>
      <w:r>
        <w:rPr>
          <w:rFonts w:hint="eastAsia" w:cs="Arial"/>
        </w:rPr>
        <w:t>特征，并提出</w:t>
      </w:r>
      <w:r>
        <w:rPr>
          <w:rFonts w:cs="Arial"/>
        </w:rPr>
        <w:t>可以帮助财政体制适应我国</w:t>
      </w:r>
      <w:r>
        <w:rPr>
          <w:rFonts w:hint="eastAsia" w:cs="Arial"/>
        </w:rPr>
        <w:t>“</w:t>
      </w:r>
      <w:r>
        <w:rPr>
          <w:rFonts w:cs="Arial"/>
        </w:rPr>
        <w:t>双重中心</w:t>
      </w:r>
      <w:r>
        <w:rPr>
          <w:rFonts w:hint="eastAsia" w:cs="Arial"/>
        </w:rPr>
        <w:t>—</w:t>
      </w:r>
      <w:r>
        <w:rPr>
          <w:rFonts w:cs="Arial"/>
        </w:rPr>
        <w:t>外围</w:t>
      </w:r>
      <w:r>
        <w:rPr>
          <w:rFonts w:hint="eastAsia" w:cs="Arial"/>
        </w:rPr>
        <w:t>”新</w:t>
      </w:r>
      <w:r>
        <w:rPr>
          <w:rFonts w:cs="Arial"/>
        </w:rPr>
        <w:t>格局的具体措施</w:t>
      </w:r>
      <w:r>
        <w:rPr>
          <w:rFonts w:hint="eastAsia" w:cs="Arial"/>
        </w:rPr>
        <w:t>。</w:t>
      </w:r>
    </w:p>
    <w:p>
      <w:pPr>
        <w:ind w:firstLine="420"/>
        <w:rPr>
          <w:rFonts w:cs="Arial"/>
        </w:rPr>
      </w:pPr>
    </w:p>
    <w:p>
      <w:pPr>
        <w:rPr>
          <w:rFonts w:cs="Arial"/>
        </w:rPr>
      </w:pPr>
      <w:r>
        <w:rPr>
          <w:rFonts w:cs="Arial"/>
        </w:rPr>
        <w:t>1、巩固新《预算法》改革成果，打破中央对地方的预算</w:t>
      </w:r>
      <w:r>
        <w:rPr>
          <w:rFonts w:hint="eastAsia" w:cs="Arial"/>
        </w:rPr>
        <w:t>“</w:t>
      </w:r>
      <w:r>
        <w:rPr>
          <w:rFonts w:cs="Arial"/>
        </w:rPr>
        <w:t>软约束</w:t>
      </w:r>
      <w:r>
        <w:rPr>
          <w:rFonts w:hint="eastAsia" w:cs="Arial"/>
        </w:rPr>
        <w:t>”</w:t>
      </w:r>
    </w:p>
    <w:p>
      <w:pPr>
        <w:ind w:firstLine="420"/>
        <w:rPr>
          <w:rFonts w:cs="Arial"/>
        </w:rPr>
      </w:pPr>
      <w:r>
        <w:rPr>
          <w:rFonts w:hint="eastAsia" w:cs="Arial"/>
        </w:rPr>
        <w:t>面对长期、全局、多维的发展需求，地方政府应避免因短期、单一、局部的利益而过度借债。新《预算法》通过明确中央与地方在债务上的权责关系，对消除中央对地方的救助预期、遏制地方政府道德风险发挥了重要作用。然而，改革尚未完全解决央地财权与事权相匹配的问题。一旦中央政府再次表现出救助迹象，比如为地方提供超出约定范围的资金支持，将严重削弱新《预算法》的权威性。这很可能导致地方政府和市场将书面法律规定视为非硬性约束，重蹈过度借债的覆辙。当然，中央不直接救助地方政府债务，特别是隐性债务，并不意味着中央对地方债务风险不闻不问。中央的支持应通过建设完善市场、提供政策工具和调动多方参与来实现，而非直接补充财政或信贷资源。中央政府可以协助地方政府，但地方政府最终必须承担主要财政责任，充分利用本地资源（例如出售地方政府拥有的资产），确保与中央的行动一致性。</w:t>
      </w:r>
    </w:p>
    <w:p>
      <w:pPr>
        <w:ind w:firstLine="420"/>
        <w:rPr>
          <w:rFonts w:cs="Arial"/>
        </w:rPr>
      </w:pPr>
      <w:r>
        <w:rPr>
          <w:rFonts w:hint="eastAsia" w:cs="Arial"/>
        </w:rPr>
        <w:t>考虑到经济欠发达地区的财政自给能力有限，面对巨大的债务压力，央地之间的博弈可能非常复杂。但有关部门必须坚持原则，维护并深化新《预算法》的改革成果，完善法律法规和财政制度，提高财政透明度，增强财政预算编制、执行和监督等各环节的制度约束力。其中，要格外重视对转移支付资金使用和举债行为的监管，依法追究地方政府违规举债和挪用资金的责任。</w:t>
      </w:r>
    </w:p>
    <w:p>
      <w:pPr>
        <w:ind w:firstLine="420"/>
        <w:rPr>
          <w:rFonts w:cs="Arial"/>
        </w:rPr>
      </w:pPr>
    </w:p>
    <w:p>
      <w:pPr>
        <w:rPr>
          <w:rFonts w:cs="Arial"/>
        </w:rPr>
      </w:pPr>
      <w:r>
        <w:rPr>
          <w:rFonts w:cs="Arial"/>
        </w:rPr>
        <w:t>2、</w:t>
      </w:r>
      <w:r>
        <w:rPr>
          <w:rFonts w:hint="eastAsia" w:cs="Arial"/>
        </w:rPr>
        <w:t>建设</w:t>
      </w:r>
      <w:r>
        <w:rPr>
          <w:rFonts w:cs="Arial"/>
        </w:rPr>
        <w:t>央地财权与事权相匹配、多元目标激励相容的财政制度</w:t>
      </w:r>
    </w:p>
    <w:p>
      <w:pPr>
        <w:rPr>
          <w:rFonts w:cs="Arial"/>
        </w:rPr>
      </w:pPr>
      <w:r>
        <w:rPr>
          <w:rFonts w:cs="Arial"/>
        </w:rPr>
        <w:tab/>
      </w:r>
      <w:r>
        <w:rPr>
          <w:rFonts w:hint="eastAsia" w:cs="Arial"/>
        </w:rPr>
        <w:t>尽管法律明文禁止地方政府通过其他途径举债，但</w:t>
      </w:r>
      <w:r>
        <w:rPr>
          <w:rFonts w:cs="Arial"/>
        </w:rPr>
        <w:t>财权与事权</w:t>
      </w:r>
      <w:r>
        <w:rPr>
          <w:rFonts w:hint="eastAsia" w:cs="Arial"/>
        </w:rPr>
        <w:t>的</w:t>
      </w:r>
      <w:r>
        <w:rPr>
          <w:rFonts w:cs="Arial"/>
        </w:rPr>
        <w:t>不匹配会</w:t>
      </w:r>
      <w:r>
        <w:rPr>
          <w:rFonts w:hint="eastAsia" w:cs="Arial"/>
        </w:rPr>
        <w:t>给地方财政造成压力，</w:t>
      </w:r>
      <w:r>
        <w:rPr>
          <w:rFonts w:cs="Arial"/>
        </w:rPr>
        <w:t>加剧地方政府过度借债的道德风险</w:t>
      </w:r>
      <w:r>
        <w:rPr>
          <w:rFonts w:hint="eastAsia" w:cs="Arial"/>
        </w:rPr>
        <w:t>。这解释了为何在全国统一的财政规则下，财政收支缺口更大的欠发达地区，变相举债的现象更为明显。要从根本上</w:t>
      </w:r>
      <w:r>
        <w:rPr>
          <w:rFonts w:cs="Arial"/>
        </w:rPr>
        <w:t>解决这一问题，</w:t>
      </w:r>
      <w:r>
        <w:rPr>
          <w:rFonts w:hint="eastAsia" w:cs="Arial"/>
        </w:rPr>
        <w:t>关键在于提升</w:t>
      </w:r>
      <w:r>
        <w:rPr>
          <w:rFonts w:cs="Arial"/>
        </w:rPr>
        <w:t>地方财政的可持续性。</w:t>
      </w:r>
      <w:r>
        <w:rPr>
          <w:rFonts w:hint="eastAsia" w:cs="Arial"/>
        </w:rPr>
        <w:t>首先，需要清晰界定中央和地方的财政事权和支出责任。对于中央与地方共同承担的公共服务，应纳入共同财政事权转移支付，并规范其分配机制。同时，对一般性转移支付和专项转移支付，也应加强流程管理，确保其达到补充财力或提高特定公共服务水平的目的。在新一轮的财税体制改革中，除了逐步调整支出责任、建立有效的财政转移支付制度外，还需要健全地方税体系，增加地方本级财政收入。通过公平合理的税收分配机制，确保地方政府拥有履行职责所需的财政资源，避免因财政压力而产生的监管漏洞或不当创收行为。</w:t>
      </w:r>
    </w:p>
    <w:p>
      <w:pPr>
        <w:ind w:firstLine="420"/>
        <w:rPr>
          <w:rFonts w:cs="Arial"/>
        </w:rPr>
      </w:pPr>
      <w:r>
        <w:rPr>
          <w:rFonts w:hint="eastAsia" w:cs="Arial"/>
        </w:rPr>
        <w:t>中央政策的有效实施需要地方政府积极配合。在明确划分财政事权的基础上，中央与地方应建立激励相容的机制，确保地方政府在执行中央政策的同时，也能追求自身的发展目标。例如，通过设立合理的绩效考核体系和财政资金奖励，鼓励地方政府在经济发展、社会稳定、环境保护等多元目标之间寻求平衡。对于GDP增长速度不具备优势、农产品主产区和生态功能区面积较大的地区，多元评价体系更能激发地方政府提高财政资金使用效率的积极性，杜绝形式主义的基建“面子工程”。</w:t>
      </w:r>
    </w:p>
    <w:p>
      <w:pPr>
        <w:rPr>
          <w:rFonts w:cs="Arial"/>
        </w:rPr>
      </w:pPr>
    </w:p>
    <w:p>
      <w:pPr>
        <w:rPr>
          <w:rFonts w:cs="Arial"/>
        </w:rPr>
      </w:pPr>
      <w:r>
        <w:rPr>
          <w:rFonts w:cs="Arial"/>
        </w:rPr>
        <w:t>3、鼓励地方运用信息优势，</w:t>
      </w:r>
      <w:r>
        <w:rPr>
          <w:rFonts w:hint="eastAsia" w:cs="Arial"/>
        </w:rPr>
        <w:t>财政</w:t>
      </w:r>
      <w:r>
        <w:rPr>
          <w:rFonts w:cs="Arial"/>
        </w:rPr>
        <w:t>支出因地制宜、提质增效</w:t>
      </w:r>
    </w:p>
    <w:p>
      <w:pPr>
        <w:rPr>
          <w:rFonts w:cs="Arial"/>
        </w:rPr>
      </w:pPr>
      <w:r>
        <w:rPr>
          <w:rFonts w:cs="Arial"/>
        </w:rPr>
        <w:tab/>
      </w:r>
      <w:r>
        <w:rPr>
          <w:rFonts w:hint="eastAsia" w:cs="Arial"/>
        </w:rPr>
        <w:t>在“双重中心—</w:t>
      </w:r>
      <w:r>
        <w:rPr>
          <w:rFonts w:cs="Arial"/>
        </w:rPr>
        <w:t>外围</w:t>
      </w:r>
      <w:r>
        <w:rPr>
          <w:rFonts w:hint="eastAsia" w:cs="Arial"/>
        </w:rPr>
        <w:t>”</w:t>
      </w:r>
      <w:r>
        <w:rPr>
          <w:rFonts w:cs="Arial"/>
        </w:rPr>
        <w:t>的发展</w:t>
      </w:r>
      <w:r>
        <w:rPr>
          <w:rFonts w:hint="eastAsia" w:cs="Arial"/>
        </w:rPr>
        <w:t>格局中</w:t>
      </w:r>
      <w:r>
        <w:rPr>
          <w:rFonts w:cs="Arial"/>
        </w:rPr>
        <w:t>，沿海</w:t>
      </w:r>
      <w:r>
        <w:rPr>
          <w:rFonts w:hint="eastAsia" w:cs="Arial"/>
        </w:rPr>
        <w:t>与</w:t>
      </w:r>
      <w:r>
        <w:rPr>
          <w:rFonts w:cs="Arial"/>
        </w:rPr>
        <w:t>内陆地区、区域中心</w:t>
      </w:r>
      <w:r>
        <w:rPr>
          <w:rFonts w:hint="eastAsia" w:cs="Arial"/>
        </w:rPr>
        <w:t>与</w:t>
      </w:r>
      <w:r>
        <w:rPr>
          <w:rFonts w:cs="Arial"/>
        </w:rPr>
        <w:t>周边地区的经济模式</w:t>
      </w:r>
      <w:r>
        <w:rPr>
          <w:rFonts w:hint="eastAsia" w:cs="Arial"/>
        </w:rPr>
        <w:t>各有千秋，相应地，</w:t>
      </w:r>
      <w:r>
        <w:rPr>
          <w:rFonts w:cs="Arial"/>
        </w:rPr>
        <w:t>所需的财政政策</w:t>
      </w:r>
      <w:r>
        <w:rPr>
          <w:rFonts w:hint="eastAsia" w:cs="Arial"/>
        </w:rPr>
        <w:t>亦有所区别</w:t>
      </w:r>
      <w:r>
        <w:rPr>
          <w:rFonts w:cs="Arial"/>
        </w:rPr>
        <w:t>。兼顾化债和</w:t>
      </w:r>
      <w:r>
        <w:rPr>
          <w:rFonts w:hint="eastAsia" w:cs="Arial"/>
        </w:rPr>
        <w:t>发展</w:t>
      </w:r>
      <w:r>
        <w:rPr>
          <w:rFonts w:cs="Arial"/>
        </w:rPr>
        <w:t>目标，意味着不能为了控制总体风险而牺牲经济增长</w:t>
      </w:r>
      <w:r>
        <w:rPr>
          <w:rFonts w:hint="eastAsia" w:cs="Arial"/>
        </w:rPr>
        <w:t>的</w:t>
      </w:r>
      <w:r>
        <w:rPr>
          <w:rFonts w:cs="Arial"/>
        </w:rPr>
        <w:t>潜力。这要求央地关系中体现</w:t>
      </w:r>
      <w:r>
        <w:rPr>
          <w:rFonts w:hint="eastAsia" w:cs="Arial"/>
        </w:rPr>
        <w:t>并</w:t>
      </w:r>
      <w:r>
        <w:rPr>
          <w:rFonts w:cs="Arial"/>
        </w:rPr>
        <w:t>保障因地制宜的</w:t>
      </w:r>
      <w:r>
        <w:rPr>
          <w:rFonts w:hint="eastAsia" w:cs="Arial"/>
        </w:rPr>
        <w:t>原则</w:t>
      </w:r>
      <w:r>
        <w:rPr>
          <w:rFonts w:cs="Arial"/>
        </w:rPr>
        <w:t>，</w:t>
      </w:r>
      <w:r>
        <w:rPr>
          <w:rFonts w:hint="eastAsia" w:cs="Arial"/>
        </w:rPr>
        <w:t>激</w:t>
      </w:r>
      <w:r>
        <w:rPr>
          <w:rFonts w:cs="Arial"/>
        </w:rPr>
        <w:t>励政策制定者</w:t>
      </w:r>
      <w:r>
        <w:rPr>
          <w:rFonts w:hint="eastAsia" w:cs="Arial"/>
        </w:rPr>
        <w:t>遵循市场</w:t>
      </w:r>
      <w:r>
        <w:rPr>
          <w:rFonts w:cs="Arial"/>
        </w:rPr>
        <w:t>经济规律，发挥各地比较优势，避免同质化发展和内部竞争，</w:t>
      </w:r>
      <w:r>
        <w:rPr>
          <w:rFonts w:hint="eastAsia" w:cs="Arial"/>
        </w:rPr>
        <w:t>以</w:t>
      </w:r>
      <w:r>
        <w:rPr>
          <w:rFonts w:cs="Arial"/>
        </w:rPr>
        <w:t>实现</w:t>
      </w:r>
      <w:r>
        <w:rPr>
          <w:rFonts w:hint="eastAsia" w:cs="Arial"/>
        </w:rPr>
        <w:t>“</w:t>
      </w:r>
      <w:r>
        <w:rPr>
          <w:rFonts w:cs="Arial"/>
        </w:rPr>
        <w:t>1+1&gt;2</w:t>
      </w:r>
      <w:r>
        <w:rPr>
          <w:rFonts w:hint="eastAsia" w:cs="Arial"/>
        </w:rPr>
        <w:t>”</w:t>
      </w:r>
      <w:r>
        <w:rPr>
          <w:rFonts w:cs="Arial"/>
        </w:rPr>
        <w:t>的</w:t>
      </w:r>
      <w:r>
        <w:rPr>
          <w:rFonts w:hint="eastAsia" w:cs="Arial"/>
        </w:rPr>
        <w:t>协同</w:t>
      </w:r>
      <w:r>
        <w:rPr>
          <w:rFonts w:cs="Arial"/>
        </w:rPr>
        <w:t>效应，</w:t>
      </w:r>
      <w:r>
        <w:rPr>
          <w:rFonts w:hint="eastAsia" w:cs="Arial"/>
        </w:rPr>
        <w:t>更好地</w:t>
      </w:r>
      <w:r>
        <w:rPr>
          <w:rFonts w:cs="Arial"/>
        </w:rPr>
        <w:t>融入国际市场。</w:t>
      </w:r>
    </w:p>
    <w:p>
      <w:pPr>
        <w:ind w:firstLine="420"/>
        <w:rPr>
          <w:rFonts w:cs="Arial"/>
        </w:rPr>
      </w:pPr>
      <w:r>
        <w:rPr>
          <w:rFonts w:cs="Arial"/>
        </w:rPr>
        <w:t>确立因地制宜的策略</w:t>
      </w:r>
      <w:r>
        <w:rPr>
          <w:rFonts w:hint="eastAsia" w:cs="Arial"/>
        </w:rPr>
        <w:t>有利于</w:t>
      </w:r>
      <w:r>
        <w:rPr>
          <w:rFonts w:cs="Arial"/>
        </w:rPr>
        <w:t>稳定</w:t>
      </w:r>
      <w:r>
        <w:rPr>
          <w:rFonts w:hint="eastAsia" w:cs="Arial"/>
        </w:rPr>
        <w:t>市场</w:t>
      </w:r>
      <w:r>
        <w:rPr>
          <w:rFonts w:cs="Arial"/>
        </w:rPr>
        <w:t>预期</w:t>
      </w:r>
      <w:r>
        <w:rPr>
          <w:rFonts w:hint="eastAsia" w:cs="Arial"/>
        </w:rPr>
        <w:t>，防止因中央政策的风吹草动而引发“</w:t>
      </w:r>
      <w:r>
        <w:rPr>
          <w:rFonts w:cs="Arial"/>
        </w:rPr>
        <w:t>一刀切</w:t>
      </w:r>
      <w:r>
        <w:rPr>
          <w:rFonts w:hint="eastAsia" w:cs="Arial"/>
        </w:rPr>
        <w:t>”</w:t>
      </w:r>
      <w:r>
        <w:rPr>
          <w:rFonts w:cs="Arial"/>
        </w:rPr>
        <w:t>或运动式治</w:t>
      </w:r>
      <w:r>
        <w:rPr>
          <w:rFonts w:hint="eastAsia" w:cs="Arial"/>
        </w:rPr>
        <w:t>理。在中国，讨论央地关系时应特别关注治理观念的更新（陆铭和李鹏飞，2022），因为在单一制背景下，地方政府对中央具有更强的依从性。虽然发挥单一制的优势有助于实现政策协同，但如果完全依赖中央制定方案，将不可避免地面临高昂的信息和监管成本。比如，在地方产业战略上，</w:t>
      </w:r>
      <w:r>
        <w:rPr>
          <w:rFonts w:cs="Arial"/>
        </w:rPr>
        <w:t>地区间发展水平、地理位置和资源禀赋差异</w:t>
      </w:r>
      <w:r>
        <w:rPr>
          <w:rFonts w:hint="eastAsia" w:cs="Arial"/>
        </w:rPr>
        <w:t>巨大，各地</w:t>
      </w:r>
      <w:r>
        <w:rPr>
          <w:rFonts w:cs="Arial"/>
        </w:rPr>
        <w:t>财政</w:t>
      </w:r>
      <w:r>
        <w:rPr>
          <w:rFonts w:hint="eastAsia" w:cs="Arial"/>
        </w:rPr>
        <w:t>必须</w:t>
      </w:r>
      <w:r>
        <w:rPr>
          <w:rFonts w:cs="Arial"/>
        </w:rPr>
        <w:t>在不同的方向和领域</w:t>
      </w:r>
      <w:r>
        <w:rPr>
          <w:rFonts w:hint="eastAsia" w:cs="Arial"/>
        </w:rPr>
        <w:t>精准发</w:t>
      </w:r>
      <w:r>
        <w:rPr>
          <w:rFonts w:cs="Arial"/>
        </w:rPr>
        <w:t>力。</w:t>
      </w:r>
      <w:r>
        <w:rPr>
          <w:rFonts w:hint="eastAsia" w:cs="Arial"/>
        </w:rPr>
        <w:t>如果不考虑本地实际情况，盲目照搬全国性或其他地区的产业规划，则无益于地方经济的可持续发展。先进生产力的发展需要长期积淀，不能一蹴而就。只有</w:t>
      </w:r>
      <w:r>
        <w:rPr>
          <w:rFonts w:cs="Arial"/>
        </w:rPr>
        <w:t>符合本地需求</w:t>
      </w:r>
      <w:r>
        <w:rPr>
          <w:rFonts w:hint="eastAsia" w:cs="Arial"/>
        </w:rPr>
        <w:t>、立足</w:t>
      </w:r>
      <w:r>
        <w:rPr>
          <w:rFonts w:cs="Arial"/>
        </w:rPr>
        <w:t>长远规划的财政投入</w:t>
      </w:r>
      <w:r>
        <w:rPr>
          <w:rFonts w:hint="eastAsia" w:cs="Arial"/>
        </w:rPr>
        <w:t>，</w:t>
      </w:r>
      <w:r>
        <w:rPr>
          <w:rFonts w:cs="Arial"/>
        </w:rPr>
        <w:t>才</w:t>
      </w:r>
      <w:r>
        <w:rPr>
          <w:rFonts w:hint="eastAsia" w:cs="Arial"/>
        </w:rPr>
        <w:t>能真正发挥作用</w:t>
      </w:r>
      <w:r>
        <w:rPr>
          <w:rFonts w:cs="Arial"/>
        </w:rPr>
        <w:t>。</w:t>
      </w:r>
      <w:r>
        <w:rPr>
          <w:rFonts w:hint="eastAsia" w:cs="Arial"/>
        </w:rPr>
        <w:t>具体来讲，中央应在追求长期、全局、多维发展的框架下，充分理解各地区的特殊性和实际需求，激发地方政府的主动性和创造性。</w:t>
      </w:r>
      <w:r>
        <w:rPr>
          <w:rFonts w:cs="Arial"/>
        </w:rPr>
        <w:t>这种</w:t>
      </w:r>
      <w:r>
        <w:rPr>
          <w:rFonts w:hint="eastAsia" w:cs="Arial"/>
        </w:rPr>
        <w:t>区域</w:t>
      </w:r>
      <w:r>
        <w:rPr>
          <w:rFonts w:cs="Arial"/>
        </w:rPr>
        <w:t>间的</w:t>
      </w:r>
      <w:r>
        <w:rPr>
          <w:rFonts w:hint="eastAsia" w:cs="Arial"/>
        </w:rPr>
        <w:t>良性</w:t>
      </w:r>
      <w:r>
        <w:rPr>
          <w:rFonts w:cs="Arial"/>
        </w:rPr>
        <w:t>差异化策略，</w:t>
      </w:r>
      <w:r>
        <w:rPr>
          <w:rFonts w:hint="eastAsia" w:cs="Arial"/>
        </w:rPr>
        <w:t>不仅</w:t>
      </w:r>
      <w:r>
        <w:rPr>
          <w:rFonts w:cs="Arial"/>
        </w:rPr>
        <w:t>能促进发达地区</w:t>
      </w:r>
      <w:r>
        <w:rPr>
          <w:rFonts w:hint="eastAsia" w:cs="Arial"/>
        </w:rPr>
        <w:t>的</w:t>
      </w:r>
      <w:r>
        <w:rPr>
          <w:rFonts w:cs="Arial"/>
        </w:rPr>
        <w:t>经济繁荣</w:t>
      </w:r>
      <w:r>
        <w:rPr>
          <w:rFonts w:hint="eastAsia" w:cs="Arial"/>
        </w:rPr>
        <w:t>和</w:t>
      </w:r>
      <w:r>
        <w:rPr>
          <w:rFonts w:cs="Arial"/>
        </w:rPr>
        <w:t>税收</w:t>
      </w:r>
      <w:r>
        <w:rPr>
          <w:rFonts w:hint="eastAsia" w:cs="Arial"/>
        </w:rPr>
        <w:t>增长</w:t>
      </w:r>
      <w:r>
        <w:rPr>
          <w:rFonts w:cs="Arial"/>
        </w:rPr>
        <w:t>，</w:t>
      </w:r>
      <w:r>
        <w:rPr>
          <w:rFonts w:hint="eastAsia" w:cs="Arial"/>
        </w:rPr>
        <w:t>还</w:t>
      </w:r>
      <w:r>
        <w:rPr>
          <w:rFonts w:cs="Arial"/>
        </w:rPr>
        <w:t>能</w:t>
      </w:r>
      <w:r>
        <w:rPr>
          <w:rFonts w:hint="eastAsia" w:cs="Arial"/>
        </w:rPr>
        <w:t>帮</w:t>
      </w:r>
      <w:r>
        <w:rPr>
          <w:rFonts w:cs="Arial"/>
        </w:rPr>
        <w:t>助欠发达地区</w:t>
      </w:r>
      <w:r>
        <w:rPr>
          <w:rFonts w:hint="eastAsia" w:cs="Arial"/>
        </w:rPr>
        <w:t>消化存量债务、避免重复建设，</w:t>
      </w:r>
      <w:r>
        <w:rPr>
          <w:rFonts w:cs="Arial"/>
        </w:rPr>
        <w:t>恢复地方财政健康</w:t>
      </w:r>
      <w:r>
        <w:rPr>
          <w:rFonts w:hint="eastAsia" w:cs="Arial"/>
        </w:rPr>
        <w:t>。当地方政府的行动与其比较优势一致时，公共财政投入的回报率自然会提高，实现“</w:t>
      </w:r>
      <w:r>
        <w:rPr>
          <w:rFonts w:cs="Arial"/>
        </w:rPr>
        <w:t>在高质量发展中推进债务风险化解</w:t>
      </w:r>
      <w:r>
        <w:rPr>
          <w:rFonts w:hint="eastAsia" w:cs="Arial"/>
        </w:rPr>
        <w:t>”的目标</w:t>
      </w:r>
      <w:r>
        <w:rPr>
          <w:rFonts w:cs="Arial"/>
        </w:rPr>
        <w:t>。</w:t>
      </w:r>
    </w:p>
    <w:p>
      <w:pPr>
        <w:rPr>
          <w:rFonts w:cs="Arial"/>
        </w:rPr>
      </w:pPr>
    </w:p>
    <w:p>
      <w:pPr>
        <w:rPr>
          <w:rFonts w:cs="Arial"/>
        </w:rPr>
      </w:pPr>
      <w:r>
        <w:rPr>
          <w:rFonts w:cs="Arial"/>
        </w:rPr>
        <w:t>4、充分发挥中央协调作用，</w:t>
      </w:r>
      <w:r>
        <w:rPr>
          <w:rFonts w:hint="eastAsia" w:cs="Arial"/>
        </w:rPr>
        <w:t>促</w:t>
      </w:r>
      <w:r>
        <w:rPr>
          <w:rFonts w:cs="Arial"/>
        </w:rPr>
        <w:t>进生产要素</w:t>
      </w:r>
      <w:r>
        <w:rPr>
          <w:rFonts w:hint="eastAsia" w:cs="Arial"/>
        </w:rPr>
        <w:t>按市场回报高效集聚</w:t>
      </w:r>
      <w:r>
        <w:rPr>
          <w:rFonts w:cs="Arial"/>
        </w:rPr>
        <w:tab/>
      </w:r>
    </w:p>
    <w:p>
      <w:pPr>
        <w:ind w:firstLine="420"/>
        <w:rPr>
          <w:rFonts w:cs="Arial"/>
        </w:rPr>
      </w:pPr>
      <w:r>
        <w:rPr>
          <w:rFonts w:hint="eastAsia" w:cs="Arial"/>
        </w:rPr>
        <w:t>在国家治理体系中，中央政府发挥着核心的领导和协调作用，其财政职能对“双重中心—外围”模式至关重要。一方面，中央政府负责防范全国性的系统风险，平衡不同地区之间的利益诉求。另一方面，重大制度改革，如放开户籍限制和建立全国性的建设用地指标跨区域交易机制等，也需要依靠中央政府的力量来统筹推进。为了实现长期、全局、多维的发展目标，中央政府不仅要控制地方政府道德风险，推动公共服务均等化，还应致力于改善经济发展的制度环境，加快全国统一大市场的建设。例如，欠发达地区累积的债务压力并非孤立的财政问题，而是统一货币区内劳动力流动受限这一长期现实下的产物。要从根本上解决这一问题，中央政府需要发挥其协调作用，推动市场一体化，打破地区壁垒，促进生产要素在全国范围内自由流动，向效率更高、投资回报率更高的地区集聚，从而提高空间资源配置的效率。</w:t>
      </w:r>
    </w:p>
    <w:p>
      <w:pPr>
        <w:ind w:firstLine="420"/>
        <w:rPr>
          <w:rFonts w:cs="Arial"/>
        </w:rPr>
      </w:pPr>
      <w:r>
        <w:rPr>
          <w:rFonts w:hint="eastAsia" w:cs="Arial"/>
        </w:rPr>
        <w:t>同时，中央政府还需加强顶层设计与地方实践的结合，确保政策的连贯性和执行力，维持高效的央地沟通机制。无论是解决地方政府债务问题，还是推动地方经济高质量发展，都涉及中央政府与地方政府之间的互动，不是某一级政府能独力解决的问题。因此，中央在制定和实施政策时，应充分考虑地方政府的策略性反应和空间外部性的影响。通过以上措施，中央政府可以更好地引导和支持地方政府，共同推动经济的高质量增长，实现区域间的协调发展和空间财政结构的优化。</w:t>
      </w:r>
    </w:p>
    <w:p>
      <w:pPr>
        <w:rPr>
          <w:rFonts w:cs="Arial"/>
        </w:rPr>
      </w:pPr>
    </w:p>
    <w:p>
      <w:pPr>
        <w:jc w:val="center"/>
        <w:rPr>
          <w:rFonts w:cs="Arial"/>
        </w:rPr>
      </w:pPr>
      <w:r>
        <w:rPr>
          <w:rFonts w:cs="Arial"/>
        </w:rPr>
        <w:t>五、总结</w:t>
      </w:r>
    </w:p>
    <w:p>
      <w:pPr>
        <w:rPr>
          <w:rFonts w:cs="Arial"/>
        </w:rPr>
      </w:pPr>
    </w:p>
    <w:p>
      <w:pPr>
        <w:ind w:firstLine="420"/>
        <w:rPr>
          <w:rFonts w:cs="Arial"/>
        </w:rPr>
      </w:pPr>
      <w:r>
        <w:rPr>
          <w:rFonts w:hint="eastAsia" w:cs="Arial"/>
        </w:rPr>
        <w:t>作为历史悠久的统一国家和统一货币区，中国天然具备建设统一大市场的优势。但由于地区间在地理区位、资源禀赋上差异较大，加上劳动力等生产要素流动不充分，区域间生产力水平和投资回报率难以趋同，使经济欠发达地区在本级财政上收不抵支。</w:t>
      </w:r>
      <w:r>
        <w:rPr>
          <w:rFonts w:cs="Arial"/>
        </w:rPr>
        <w:t>在</w:t>
      </w:r>
      <w:r>
        <w:rPr>
          <w:rFonts w:hint="eastAsia" w:cs="Arial"/>
        </w:rPr>
        <w:t>此背景下</w:t>
      </w:r>
      <w:r>
        <w:rPr>
          <w:rFonts w:cs="Arial"/>
        </w:rPr>
        <w:t>，</w:t>
      </w:r>
      <w:r>
        <w:rPr>
          <w:rFonts w:hint="eastAsia" w:cs="Arial"/>
        </w:rPr>
        <w:t>分税制改革后的</w:t>
      </w:r>
      <w:r>
        <w:rPr>
          <w:rFonts w:cs="Arial"/>
        </w:rPr>
        <w:t>央地关系</w:t>
      </w:r>
      <w:r>
        <w:rPr>
          <w:rFonts w:hint="eastAsia" w:cs="Arial"/>
        </w:rPr>
        <w:t>——特别</w:t>
      </w:r>
      <w:r>
        <w:rPr>
          <w:rFonts w:cs="Arial"/>
        </w:rPr>
        <w:t>是中央政府对地方政府的财政转移支付和救助预期</w:t>
      </w:r>
      <w:r>
        <w:rPr>
          <w:rFonts w:hint="eastAsia" w:cs="Arial"/>
        </w:rPr>
        <w:t>——虽然</w:t>
      </w:r>
      <w:r>
        <w:rPr>
          <w:rFonts w:cs="Arial"/>
        </w:rPr>
        <w:t>刺激</w:t>
      </w:r>
      <w:r>
        <w:rPr>
          <w:rFonts w:hint="eastAsia" w:cs="Arial"/>
        </w:rPr>
        <w:t>了</w:t>
      </w:r>
      <w:r>
        <w:rPr>
          <w:rFonts w:cs="Arial"/>
        </w:rPr>
        <w:t>欠发达地区</w:t>
      </w:r>
      <w:r>
        <w:rPr>
          <w:rFonts w:hint="eastAsia" w:cs="Arial"/>
        </w:rPr>
        <w:t>的</w:t>
      </w:r>
      <w:r>
        <w:rPr>
          <w:rFonts w:cs="Arial"/>
        </w:rPr>
        <w:t>投资</w:t>
      </w:r>
      <w:r>
        <w:rPr>
          <w:rFonts w:hint="eastAsia" w:cs="Arial"/>
        </w:rPr>
        <w:t>和</w:t>
      </w:r>
      <w:r>
        <w:rPr>
          <w:rFonts w:cs="Arial"/>
        </w:rPr>
        <w:t>经济增长，</w:t>
      </w:r>
      <w:r>
        <w:rPr>
          <w:rFonts w:hint="eastAsia" w:cs="Arial"/>
        </w:rPr>
        <w:t>但</w:t>
      </w:r>
      <w:r>
        <w:rPr>
          <w:rFonts w:cs="Arial"/>
        </w:rPr>
        <w:t>也</w:t>
      </w:r>
      <w:r>
        <w:rPr>
          <w:rFonts w:hint="eastAsia" w:cs="Arial"/>
        </w:rPr>
        <w:t>催生了这些地区地方政府过度借债的道德风险，形成“</w:t>
      </w:r>
      <w:r>
        <w:rPr>
          <w:rFonts w:cs="Arial"/>
        </w:rPr>
        <w:t>增长</w:t>
      </w:r>
      <w:r>
        <w:rPr>
          <w:rFonts w:hint="eastAsia" w:cs="Arial"/>
        </w:rPr>
        <w:t>—</w:t>
      </w:r>
      <w:r>
        <w:rPr>
          <w:rFonts w:cs="Arial"/>
        </w:rPr>
        <w:t>补贴</w:t>
      </w:r>
      <w:r>
        <w:rPr>
          <w:rFonts w:hint="eastAsia" w:cs="Arial"/>
        </w:rPr>
        <w:t>—</w:t>
      </w:r>
      <w:r>
        <w:rPr>
          <w:rFonts w:cs="Arial"/>
        </w:rPr>
        <w:t>债务的三角悖论</w:t>
      </w:r>
      <w:r>
        <w:rPr>
          <w:rFonts w:hint="eastAsia" w:cs="Arial"/>
        </w:rPr>
        <w:t>”。面对地方政府债务的持续增长，尤其是欠发达地区的债务累积，当前的央地治理体系正面临一系列挑战：既要防范地方政府债务风险扩散，又要调动中央和地方两个积极性，以落实积极的财政政策和推动高质量发展。</w:t>
      </w:r>
    </w:p>
    <w:p>
      <w:pPr>
        <w:ind w:firstLine="420"/>
        <w:rPr>
          <w:rFonts w:cs="Arial"/>
        </w:rPr>
      </w:pPr>
      <w:r>
        <w:rPr>
          <w:rFonts w:hint="eastAsia" w:cs="Arial"/>
        </w:rPr>
        <w:t>无论是</w:t>
      </w:r>
      <w:r>
        <w:rPr>
          <w:rFonts w:cs="Arial"/>
        </w:rPr>
        <w:t>化</w:t>
      </w:r>
      <w:r>
        <w:rPr>
          <w:rFonts w:hint="eastAsia" w:cs="Arial"/>
        </w:rPr>
        <w:t>解</w:t>
      </w:r>
      <w:r>
        <w:rPr>
          <w:rFonts w:cs="Arial"/>
        </w:rPr>
        <w:t>债</w:t>
      </w:r>
      <w:r>
        <w:rPr>
          <w:rFonts w:hint="eastAsia" w:cs="Arial"/>
        </w:rPr>
        <w:t>务</w:t>
      </w:r>
      <w:r>
        <w:rPr>
          <w:rFonts w:cs="Arial"/>
        </w:rPr>
        <w:t>还是</w:t>
      </w:r>
      <w:r>
        <w:rPr>
          <w:rFonts w:hint="eastAsia" w:cs="Arial"/>
        </w:rPr>
        <w:t>促进经济发展</w:t>
      </w:r>
      <w:r>
        <w:rPr>
          <w:rFonts w:cs="Arial"/>
        </w:rPr>
        <w:t>，</w:t>
      </w:r>
      <w:r>
        <w:rPr>
          <w:rFonts w:hint="eastAsia" w:cs="Arial"/>
        </w:rPr>
        <w:t>构建合理的央地财政关系都是解决问题的关键，而注重经济和财政的</w:t>
      </w:r>
      <w:r>
        <w:rPr>
          <w:rFonts w:cs="Arial"/>
        </w:rPr>
        <w:t>空间结构</w:t>
      </w:r>
      <w:r>
        <w:rPr>
          <w:rFonts w:hint="eastAsia" w:cs="Arial"/>
        </w:rPr>
        <w:t>则能带来</w:t>
      </w:r>
      <w:r>
        <w:rPr>
          <w:rFonts w:cs="Arial"/>
        </w:rPr>
        <w:t>事半功倍</w:t>
      </w:r>
      <w:r>
        <w:rPr>
          <w:rFonts w:hint="eastAsia" w:cs="Arial"/>
        </w:rPr>
        <w:t>的效果</w:t>
      </w:r>
      <w:r>
        <w:rPr>
          <w:rFonts w:cs="Arial"/>
        </w:rPr>
        <w:t>。</w:t>
      </w:r>
      <w:r>
        <w:rPr>
          <w:rFonts w:hint="eastAsia" w:cs="Arial"/>
        </w:rPr>
        <w:t>尽管</w:t>
      </w:r>
      <w:r>
        <w:rPr>
          <w:rFonts w:cs="Arial"/>
        </w:rPr>
        <w:t>中央在财政规则上</w:t>
      </w:r>
      <w:r>
        <w:rPr>
          <w:rFonts w:hint="eastAsia" w:cs="Arial"/>
        </w:rPr>
        <w:t>平等对待</w:t>
      </w:r>
      <w:r>
        <w:rPr>
          <w:rFonts w:cs="Arial"/>
        </w:rPr>
        <w:t>所有地区，但</w:t>
      </w:r>
      <w:r>
        <w:rPr>
          <w:rFonts w:hint="eastAsia" w:cs="Arial"/>
        </w:rPr>
        <w:t>为了“</w:t>
      </w:r>
      <w:r>
        <w:rPr>
          <w:rFonts w:cs="Arial"/>
        </w:rPr>
        <w:t>在发展中促进相对平衡</w:t>
      </w:r>
      <w:r>
        <w:rPr>
          <w:rFonts w:hint="eastAsia" w:cs="Arial"/>
        </w:rPr>
        <w:t>”</w:t>
      </w:r>
      <w:r>
        <w:rPr>
          <w:rFonts w:cs="Arial"/>
        </w:rPr>
        <w:t>，必</w:t>
      </w:r>
      <w:r>
        <w:rPr>
          <w:rFonts w:hint="eastAsia" w:cs="Arial"/>
        </w:rPr>
        <w:t>须</w:t>
      </w:r>
      <w:r>
        <w:rPr>
          <w:rFonts w:cs="Arial"/>
        </w:rPr>
        <w:t>通过转移支付来补充欠发达地区的财力。</w:t>
      </w:r>
      <w:r>
        <w:rPr>
          <w:rFonts w:hint="eastAsia" w:cs="Arial"/>
        </w:rPr>
        <w:t>在</w:t>
      </w:r>
      <w:r>
        <w:rPr>
          <w:rFonts w:cs="Arial"/>
        </w:rPr>
        <w:t>单一制国家中</w:t>
      </w:r>
      <w:r>
        <w:rPr>
          <w:rFonts w:hint="eastAsia" w:cs="Arial"/>
        </w:rPr>
        <w:t>，</w:t>
      </w:r>
      <w:r>
        <w:rPr>
          <w:rFonts w:cs="Arial"/>
        </w:rPr>
        <w:t>中央对地方负有不可动摇的领导和监管责任</w:t>
      </w:r>
      <w:r>
        <w:rPr>
          <w:rFonts w:hint="eastAsia" w:cs="Arial"/>
        </w:rPr>
        <w:t>。因此，中央</w:t>
      </w:r>
      <w:r>
        <w:rPr>
          <w:rFonts w:cs="Arial"/>
        </w:rPr>
        <w:t>在制度设计上就应充分考虑到区域间的</w:t>
      </w:r>
      <w:r>
        <w:rPr>
          <w:rFonts w:hint="eastAsia" w:cs="Arial"/>
        </w:rPr>
        <w:t>差异</w:t>
      </w:r>
      <w:r>
        <w:rPr>
          <w:rFonts w:cs="Arial"/>
        </w:rPr>
        <w:t>，通过</w:t>
      </w:r>
      <w:r>
        <w:rPr>
          <w:rFonts w:hint="eastAsia" w:cs="Arial"/>
        </w:rPr>
        <w:t>明确的</w:t>
      </w:r>
      <w:r>
        <w:rPr>
          <w:rFonts w:cs="Arial"/>
        </w:rPr>
        <w:t>事前规则来</w:t>
      </w:r>
      <w:r>
        <w:rPr>
          <w:rFonts w:hint="eastAsia" w:cs="Arial"/>
        </w:rPr>
        <w:t>保障</w:t>
      </w:r>
      <w:r>
        <w:rPr>
          <w:rFonts w:cs="Arial"/>
        </w:rPr>
        <w:t>财权与事权</w:t>
      </w:r>
      <w:r>
        <w:rPr>
          <w:rFonts w:hint="eastAsia" w:cs="Arial"/>
        </w:rPr>
        <w:t>的</w:t>
      </w:r>
      <w:r>
        <w:rPr>
          <w:rFonts w:cs="Arial"/>
        </w:rPr>
        <w:t>匹配</w:t>
      </w:r>
      <w:r>
        <w:rPr>
          <w:rFonts w:hint="eastAsia" w:cs="Arial"/>
        </w:rPr>
        <w:t>，以及</w:t>
      </w:r>
      <w:r>
        <w:rPr>
          <w:rFonts w:cs="Arial"/>
        </w:rPr>
        <w:t>中央和地方激励</w:t>
      </w:r>
      <w:r>
        <w:rPr>
          <w:rFonts w:hint="eastAsia" w:cs="Arial"/>
        </w:rPr>
        <w:t>的</w:t>
      </w:r>
      <w:r>
        <w:rPr>
          <w:rFonts w:cs="Arial"/>
        </w:rPr>
        <w:t>相容</w:t>
      </w:r>
      <w:r>
        <w:rPr>
          <w:rFonts w:hint="eastAsia" w:cs="Arial"/>
        </w:rPr>
        <w:t>性。例</w:t>
      </w:r>
      <w:r>
        <w:rPr>
          <w:rFonts w:cs="Arial"/>
        </w:rPr>
        <w:t>如，中央</w:t>
      </w:r>
      <w:r>
        <w:rPr>
          <w:rFonts w:hint="eastAsia" w:cs="Arial"/>
        </w:rPr>
        <w:t>可以在</w:t>
      </w:r>
      <w:r>
        <w:rPr>
          <w:rFonts w:cs="Arial"/>
        </w:rPr>
        <w:t>教育等具有较大空间外部性的公共品上</w:t>
      </w:r>
      <w:r>
        <w:rPr>
          <w:rFonts w:hint="eastAsia" w:cs="Arial"/>
        </w:rPr>
        <w:t>承担更多</w:t>
      </w:r>
      <w:r>
        <w:rPr>
          <w:rFonts w:cs="Arial"/>
        </w:rPr>
        <w:t>的共同事权，</w:t>
      </w:r>
      <w:r>
        <w:rPr>
          <w:rFonts w:hint="eastAsia" w:cs="Arial"/>
        </w:rPr>
        <w:t>以</w:t>
      </w:r>
      <w:r>
        <w:rPr>
          <w:rFonts w:cs="Arial"/>
        </w:rPr>
        <w:t>最小化道德风险</w:t>
      </w:r>
      <w:r>
        <w:rPr>
          <w:rFonts w:hint="eastAsia" w:cs="Arial"/>
        </w:rPr>
        <w:t>，并公平分</w:t>
      </w:r>
      <w:r>
        <w:rPr>
          <w:rFonts w:cs="Arial"/>
        </w:rPr>
        <w:t>享经济发展成果和财政收入</w:t>
      </w:r>
      <w:r>
        <w:rPr>
          <w:rFonts w:hint="eastAsia" w:cs="Arial"/>
        </w:rPr>
        <w:t>。相反，如果采取</w:t>
      </w:r>
      <w:r>
        <w:rPr>
          <w:rFonts w:cs="Arial"/>
        </w:rPr>
        <w:t>隐性承诺</w:t>
      </w:r>
      <w:r>
        <w:rPr>
          <w:rFonts w:hint="eastAsia" w:cs="Arial"/>
        </w:rPr>
        <w:t>和</w:t>
      </w:r>
      <w:r>
        <w:rPr>
          <w:rFonts w:cs="Arial"/>
        </w:rPr>
        <w:t>事后补救</w:t>
      </w:r>
      <w:r>
        <w:rPr>
          <w:rFonts w:hint="eastAsia" w:cs="Arial"/>
        </w:rPr>
        <w:t>的方式，</w:t>
      </w:r>
      <w:r>
        <w:rPr>
          <w:rFonts w:cs="Arial"/>
        </w:rPr>
        <w:t>比如</w:t>
      </w:r>
      <w:r>
        <w:rPr>
          <w:rFonts w:hint="eastAsia" w:cs="Arial"/>
        </w:rPr>
        <w:t>允许</w:t>
      </w:r>
      <w:r>
        <w:rPr>
          <w:rFonts w:cs="Arial"/>
        </w:rPr>
        <w:t>地方将转移支付</w:t>
      </w:r>
      <w:r>
        <w:rPr>
          <w:rFonts w:hint="eastAsia" w:cs="Arial"/>
        </w:rPr>
        <w:t>用于偿还地方债务或</w:t>
      </w:r>
      <w:r>
        <w:rPr>
          <w:rFonts w:cs="Arial"/>
        </w:rPr>
        <w:t>符合官员短期利益的</w:t>
      </w:r>
      <w:r>
        <w:rPr>
          <w:rFonts w:hint="eastAsia" w:cs="Arial"/>
        </w:rPr>
        <w:t>其他</w:t>
      </w:r>
      <w:r>
        <w:rPr>
          <w:rFonts w:cs="Arial"/>
        </w:rPr>
        <w:t>建设项目</w:t>
      </w:r>
      <w:r>
        <w:rPr>
          <w:rFonts w:hint="eastAsia" w:cs="Arial"/>
        </w:rPr>
        <w:t>，地方对中央转移支付的依赖则会不断加深。面对欠发达地区地方债务累积，而公共服务供给不足的情况，中央不得不</w:t>
      </w:r>
      <w:r>
        <w:rPr>
          <w:rFonts w:cs="Arial"/>
        </w:rPr>
        <w:t>再次</w:t>
      </w:r>
      <w:r>
        <w:rPr>
          <w:rFonts w:hint="eastAsia" w:cs="Arial"/>
        </w:rPr>
        <w:t>介入并提供</w:t>
      </w:r>
      <w:r>
        <w:rPr>
          <w:rFonts w:cs="Arial"/>
        </w:rPr>
        <w:t>补贴，</w:t>
      </w:r>
      <w:r>
        <w:rPr>
          <w:rFonts w:hint="eastAsia" w:cs="Arial"/>
        </w:rPr>
        <w:t>这实际上就形成了“</w:t>
      </w:r>
      <w:r>
        <w:rPr>
          <w:rFonts w:cs="Arial"/>
        </w:rPr>
        <w:t>软预算约束</w:t>
      </w:r>
      <w:r>
        <w:rPr>
          <w:rFonts w:hint="eastAsia" w:cs="Arial"/>
        </w:rPr>
        <w:t>”。</w:t>
      </w:r>
    </w:p>
    <w:p>
      <w:pPr>
        <w:ind w:firstLine="420"/>
        <w:rPr>
          <w:rFonts w:cs="Arial"/>
        </w:rPr>
      </w:pPr>
      <w:r>
        <w:rPr>
          <w:rFonts w:cs="Arial"/>
        </w:rPr>
        <w:t>自2015年新《预算法》</w:t>
      </w:r>
      <w:r>
        <w:rPr>
          <w:rFonts w:hint="eastAsia" w:cs="Arial"/>
        </w:rPr>
        <w:t>实施</w:t>
      </w:r>
      <w:r>
        <w:rPr>
          <w:rFonts w:cs="Arial"/>
        </w:rPr>
        <w:t>以来，债务资金</w:t>
      </w:r>
      <w:r>
        <w:rPr>
          <w:rFonts w:hint="eastAsia" w:cs="Arial"/>
        </w:rPr>
        <w:t>逐步向</w:t>
      </w:r>
      <w:r>
        <w:rPr>
          <w:rFonts w:cs="Arial"/>
        </w:rPr>
        <w:t>经济更发达、偿债能力更强的东部地区</w:t>
      </w:r>
      <w:r>
        <w:rPr>
          <w:rFonts w:hint="eastAsia" w:cs="Arial"/>
        </w:rPr>
        <w:t>集中。相应地</w:t>
      </w:r>
      <w:r>
        <w:rPr>
          <w:rFonts w:cs="Arial"/>
        </w:rPr>
        <w:t>，中西部地区过度举债的</w:t>
      </w:r>
      <w:r>
        <w:rPr>
          <w:rFonts w:hint="eastAsia" w:cs="Arial"/>
        </w:rPr>
        <w:t>道德风险得到了一定程度的控制。尽管</w:t>
      </w:r>
      <w:r>
        <w:rPr>
          <w:rFonts w:cs="Arial"/>
        </w:rPr>
        <w:t>地方</w:t>
      </w:r>
      <w:r>
        <w:rPr>
          <w:rFonts w:hint="eastAsia" w:cs="Arial"/>
        </w:rPr>
        <w:t>债务的压力尚未完全缓解，但债务的空间分布有所改善</w:t>
      </w:r>
      <w:r>
        <w:rPr>
          <w:rFonts w:cs="Arial"/>
        </w:rPr>
        <w:t>。因此，</w:t>
      </w:r>
      <w:r>
        <w:rPr>
          <w:rFonts w:hint="eastAsia" w:cs="Arial"/>
        </w:rPr>
        <w:t>打破“软预算约束”</w:t>
      </w:r>
      <w:r>
        <w:rPr>
          <w:rFonts w:cs="Arial"/>
        </w:rPr>
        <w:t>的央地关系改革</w:t>
      </w:r>
      <w:r>
        <w:rPr>
          <w:rFonts w:hint="eastAsia" w:cs="Arial"/>
        </w:rPr>
        <w:t>在</w:t>
      </w:r>
      <w:r>
        <w:rPr>
          <w:rFonts w:cs="Arial"/>
        </w:rPr>
        <w:t>化解债务风险、</w:t>
      </w:r>
      <w:r>
        <w:rPr>
          <w:rFonts w:hint="eastAsia" w:cs="Arial"/>
        </w:rPr>
        <w:t>改善地方财政可持续性等方面初见成效。</w:t>
      </w:r>
      <w:r>
        <w:rPr>
          <w:rFonts w:cs="Arial"/>
        </w:rPr>
        <w:t>中央在</w:t>
      </w:r>
      <w:r>
        <w:rPr>
          <w:rFonts w:hint="eastAsia" w:cs="Arial"/>
        </w:rPr>
        <w:t>综合使用多种工具</w:t>
      </w:r>
      <w:r>
        <w:rPr>
          <w:rFonts w:cs="Arial"/>
        </w:rPr>
        <w:t>协调地方</w:t>
      </w:r>
      <w:r>
        <w:rPr>
          <w:rFonts w:hint="eastAsia" w:cs="Arial"/>
        </w:rPr>
        <w:t>化解债务和</w:t>
      </w:r>
      <w:r>
        <w:rPr>
          <w:rFonts w:cs="Arial"/>
        </w:rPr>
        <w:t>保障基层财力的同时，</w:t>
      </w:r>
      <w:r>
        <w:rPr>
          <w:rFonts w:hint="eastAsia" w:cs="Arial"/>
        </w:rPr>
        <w:t>需进一步</w:t>
      </w:r>
      <w:r>
        <w:rPr>
          <w:rFonts w:cs="Arial"/>
        </w:rPr>
        <w:t>巩固改革成果</w:t>
      </w:r>
      <w:r>
        <w:rPr>
          <w:rFonts w:hint="eastAsia" w:cs="Arial"/>
        </w:rPr>
        <w:t>，</w:t>
      </w:r>
      <w:r>
        <w:rPr>
          <w:rFonts w:cs="Arial"/>
        </w:rPr>
        <w:t>坚持不为地方政府的投资</w:t>
      </w:r>
      <w:r>
        <w:rPr>
          <w:rFonts w:hint="eastAsia" w:cs="Arial"/>
        </w:rPr>
        <w:t>性</w:t>
      </w:r>
      <w:r>
        <w:rPr>
          <w:rFonts w:cs="Arial"/>
        </w:rPr>
        <w:t>债务</w:t>
      </w:r>
      <w:r>
        <w:rPr>
          <w:rFonts w:hint="eastAsia" w:cs="Arial"/>
        </w:rPr>
        <w:t>提供支持</w:t>
      </w:r>
      <w:r>
        <w:rPr>
          <w:rFonts w:cs="Arial"/>
        </w:rPr>
        <w:t>。只有在</w:t>
      </w:r>
      <w:r>
        <w:rPr>
          <w:rFonts w:hint="eastAsia" w:cs="Arial"/>
        </w:rPr>
        <w:t>明确</w:t>
      </w:r>
      <w:r>
        <w:rPr>
          <w:rFonts w:cs="Arial"/>
        </w:rPr>
        <w:t>未来预期、</w:t>
      </w:r>
      <w:r>
        <w:rPr>
          <w:rFonts w:hint="eastAsia" w:cs="Arial"/>
        </w:rPr>
        <w:t>巩固</w:t>
      </w:r>
      <w:r>
        <w:rPr>
          <w:rFonts w:cs="Arial"/>
        </w:rPr>
        <w:t>新型央地财政关系的基础上，地方</w:t>
      </w:r>
      <w:r>
        <w:rPr>
          <w:rFonts w:hint="eastAsia" w:cs="Arial"/>
        </w:rPr>
        <w:t>政府</w:t>
      </w:r>
      <w:r>
        <w:rPr>
          <w:rFonts w:cs="Arial"/>
        </w:rPr>
        <w:t>才能</w:t>
      </w:r>
      <w:r>
        <w:rPr>
          <w:rFonts w:hint="eastAsia" w:cs="Arial"/>
        </w:rPr>
        <w:t>保持战略定力，</w:t>
      </w:r>
      <w:r>
        <w:rPr>
          <w:rFonts w:cs="Arial"/>
        </w:rPr>
        <w:t>探索</w:t>
      </w:r>
      <w:r>
        <w:rPr>
          <w:rFonts w:hint="eastAsia" w:cs="Arial"/>
        </w:rPr>
        <w:t>与</w:t>
      </w:r>
      <w:r>
        <w:rPr>
          <w:rFonts w:cs="Arial"/>
        </w:rPr>
        <w:t>新发展阶段</w:t>
      </w:r>
      <w:r>
        <w:rPr>
          <w:rFonts w:hint="eastAsia" w:cs="Arial"/>
        </w:rPr>
        <w:t>相适应</w:t>
      </w:r>
      <w:r>
        <w:rPr>
          <w:rFonts w:cs="Arial"/>
        </w:rPr>
        <w:t>、长期可持续的财政模式。</w:t>
      </w:r>
    </w:p>
    <w:p>
      <w:pPr>
        <w:ind w:firstLine="420"/>
        <w:rPr>
          <w:rFonts w:cs="Arial"/>
        </w:rPr>
      </w:pPr>
      <w:r>
        <w:rPr>
          <w:rFonts w:hint="eastAsia" w:cs="Arial"/>
        </w:rPr>
        <w:t>在</w:t>
      </w:r>
      <w:r>
        <w:rPr>
          <w:rFonts w:cs="Arial"/>
        </w:rPr>
        <w:t>短期内</w:t>
      </w:r>
      <w:r>
        <w:rPr>
          <w:rFonts w:hint="eastAsia" w:cs="Arial"/>
        </w:rPr>
        <w:t>，中央政府需密切关注</w:t>
      </w:r>
      <w:r>
        <w:rPr>
          <w:rFonts w:cs="Arial"/>
        </w:rPr>
        <w:t>地方</w:t>
      </w:r>
      <w:r>
        <w:rPr>
          <w:rFonts w:hint="eastAsia" w:cs="Arial"/>
        </w:rPr>
        <w:t>债务率，严肃财政纪律，尤其是严格控制欠发达地区的隐性债务规模。新《预算法》改革为重塑中央与地方间的财政关系提供了基础。在打破中央对地方救助预期的早期阶段，欠发达地区财政最迫切的任务依然是遏制</w:t>
      </w:r>
      <w:r>
        <w:rPr>
          <w:rFonts w:cs="Arial"/>
        </w:rPr>
        <w:t>隐性债务</w:t>
      </w:r>
      <w:r>
        <w:rPr>
          <w:rFonts w:hint="eastAsia" w:cs="Arial"/>
        </w:rPr>
        <w:t>增长和防范债务风险扩散。从长远</w:t>
      </w:r>
      <w:r>
        <w:rPr>
          <w:rFonts w:cs="Arial"/>
        </w:rPr>
        <w:t>来看，</w:t>
      </w:r>
      <w:r>
        <w:rPr>
          <w:rFonts w:hint="eastAsia" w:cs="Arial"/>
        </w:rPr>
        <w:t>政府还</w:t>
      </w:r>
      <w:r>
        <w:rPr>
          <w:rFonts w:cs="Arial"/>
        </w:rPr>
        <w:t>需要</w:t>
      </w:r>
      <w:r>
        <w:rPr>
          <w:rFonts w:hint="eastAsia" w:cs="Arial"/>
        </w:rPr>
        <w:t>全面</w:t>
      </w:r>
      <w:r>
        <w:rPr>
          <w:rFonts w:cs="Arial"/>
        </w:rPr>
        <w:t>深化财税体制改革</w:t>
      </w:r>
      <w:r>
        <w:rPr>
          <w:rFonts w:hint="eastAsia" w:cs="Arial"/>
        </w:rPr>
        <w:t>。具体而言，要合理划分</w:t>
      </w:r>
      <w:r>
        <w:rPr>
          <w:rFonts w:cs="Arial"/>
        </w:rPr>
        <w:t>中央和地方的支出责任，</w:t>
      </w:r>
      <w:r>
        <w:rPr>
          <w:rFonts w:hint="eastAsia" w:cs="Arial"/>
        </w:rPr>
        <w:t>由</w:t>
      </w:r>
      <w:r>
        <w:rPr>
          <w:rFonts w:cs="Arial"/>
        </w:rPr>
        <w:t>中央政府承担</w:t>
      </w:r>
      <w:r>
        <w:rPr>
          <w:rFonts w:hint="eastAsia" w:cs="Arial"/>
        </w:rPr>
        <w:t>更多具有空间正外部性的</w:t>
      </w:r>
      <w:r>
        <w:rPr>
          <w:rFonts w:cs="Arial"/>
        </w:rPr>
        <w:t>基本公共服务支出</w:t>
      </w:r>
      <w:r>
        <w:rPr>
          <w:rFonts w:hint="eastAsia" w:cs="Arial"/>
        </w:rPr>
        <w:t>。此外，应建立有效的中央</w:t>
      </w:r>
      <w:r>
        <w:rPr>
          <w:rFonts w:cs="Arial"/>
        </w:rPr>
        <w:t>财政转移支付</w:t>
      </w:r>
      <w:r>
        <w:rPr>
          <w:rFonts w:hint="eastAsia" w:cs="Arial"/>
        </w:rPr>
        <w:t>制度，以激励</w:t>
      </w:r>
      <w:r>
        <w:rPr>
          <w:rFonts w:cs="Arial"/>
        </w:rPr>
        <w:t>地方政府</w:t>
      </w:r>
      <w:r>
        <w:rPr>
          <w:rFonts w:hint="eastAsia" w:cs="Arial"/>
        </w:rPr>
        <w:t>提升</w:t>
      </w:r>
      <w:r>
        <w:rPr>
          <w:rFonts w:cs="Arial"/>
        </w:rPr>
        <w:t>财政资金的使用效率。地方政府官员</w:t>
      </w:r>
      <w:r>
        <w:rPr>
          <w:rFonts w:hint="eastAsia" w:cs="Arial"/>
        </w:rPr>
        <w:t>的</w:t>
      </w:r>
      <w:r>
        <w:rPr>
          <w:rFonts w:cs="Arial"/>
        </w:rPr>
        <w:t>考核机制</w:t>
      </w:r>
      <w:r>
        <w:rPr>
          <w:rFonts w:hint="eastAsia" w:cs="Arial"/>
        </w:rPr>
        <w:t>也</w:t>
      </w:r>
      <w:r>
        <w:rPr>
          <w:rFonts w:cs="Arial"/>
        </w:rPr>
        <w:t>应</w:t>
      </w:r>
      <w:r>
        <w:rPr>
          <w:rFonts w:hint="eastAsia" w:cs="Arial"/>
        </w:rPr>
        <w:t>进行调整，</w:t>
      </w:r>
      <w:r>
        <w:rPr>
          <w:rFonts w:cs="Arial"/>
        </w:rPr>
        <w:t>更加</w:t>
      </w:r>
      <w:r>
        <w:rPr>
          <w:rFonts w:hint="eastAsia" w:cs="Arial"/>
        </w:rPr>
        <w:t>重视</w:t>
      </w:r>
      <w:r>
        <w:rPr>
          <w:rFonts w:cs="Arial"/>
        </w:rPr>
        <w:t>人均指标</w:t>
      </w:r>
      <w:r>
        <w:rPr>
          <w:rFonts w:hint="eastAsia" w:cs="Arial"/>
        </w:rPr>
        <w:t>、</w:t>
      </w:r>
      <w:r>
        <w:rPr>
          <w:rFonts w:cs="Arial"/>
        </w:rPr>
        <w:t>民生</w:t>
      </w:r>
      <w:r>
        <w:rPr>
          <w:rFonts w:hint="eastAsia" w:cs="Arial"/>
        </w:rPr>
        <w:t>和环保等长期发展指标</w:t>
      </w:r>
      <w:r>
        <w:rPr>
          <w:rFonts w:cs="Arial"/>
        </w:rPr>
        <w:t>，而</w:t>
      </w:r>
      <w:r>
        <w:rPr>
          <w:rFonts w:hint="eastAsia" w:cs="Arial"/>
        </w:rPr>
        <w:t>非单一的</w:t>
      </w:r>
      <w:r>
        <w:rPr>
          <w:rFonts w:cs="Arial"/>
        </w:rPr>
        <w:t>GDP</w:t>
      </w:r>
      <w:r>
        <w:rPr>
          <w:rFonts w:hint="eastAsia" w:cs="Arial"/>
        </w:rPr>
        <w:t>总量</w:t>
      </w:r>
      <w:r>
        <w:rPr>
          <w:rFonts w:cs="Arial"/>
        </w:rPr>
        <w:t>增长。</w:t>
      </w:r>
      <w:r>
        <w:rPr>
          <w:rFonts w:hint="eastAsia" w:cs="Arial"/>
        </w:rPr>
        <w:t>在全国层面</w:t>
      </w:r>
      <w:r>
        <w:rPr>
          <w:rFonts w:cs="Arial"/>
        </w:rPr>
        <w:t>，</w:t>
      </w:r>
      <w:r>
        <w:rPr>
          <w:rFonts w:hint="eastAsia" w:cs="Arial"/>
        </w:rPr>
        <w:t>中央财政还应</w:t>
      </w:r>
      <w:r>
        <w:rPr>
          <w:rFonts w:cs="Arial"/>
        </w:rPr>
        <w:t>推动户籍和土地制度改革，促进劳动力</w:t>
      </w:r>
      <w:r>
        <w:rPr>
          <w:rFonts w:hint="eastAsia" w:cs="Arial"/>
        </w:rPr>
        <w:t>、建设用地指标和补充耕地指标在区域间再</w:t>
      </w:r>
      <w:r>
        <w:rPr>
          <w:rFonts w:cs="Arial"/>
        </w:rPr>
        <w:t>配置。</w:t>
      </w:r>
      <w:r>
        <w:rPr>
          <w:rFonts w:hint="eastAsia" w:cs="Arial"/>
        </w:rPr>
        <w:t>最后，要解放思想，更新央地治理观念。新时代的央地关系既要</w:t>
      </w:r>
      <w:r>
        <w:rPr>
          <w:rFonts w:cs="Arial"/>
        </w:rPr>
        <w:t>符合中央</w:t>
      </w:r>
      <w:r>
        <w:rPr>
          <w:rFonts w:hint="eastAsia" w:cs="Arial"/>
        </w:rPr>
        <w:t>长期、全局、多维发展的</w:t>
      </w:r>
      <w:r>
        <w:rPr>
          <w:rFonts w:cs="Arial"/>
        </w:rPr>
        <w:t>战略目标，</w:t>
      </w:r>
      <w:r>
        <w:rPr>
          <w:rFonts w:hint="eastAsia" w:cs="Arial"/>
        </w:rPr>
        <w:t>也要能体现</w:t>
      </w:r>
      <w:r>
        <w:rPr>
          <w:rFonts w:cs="Arial"/>
        </w:rPr>
        <w:t>地方的</w:t>
      </w:r>
      <w:r>
        <w:rPr>
          <w:rFonts w:hint="eastAsia" w:cs="Arial"/>
        </w:rPr>
        <w:t>实际情况和</w:t>
      </w:r>
      <w:r>
        <w:rPr>
          <w:rFonts w:cs="Arial"/>
        </w:rPr>
        <w:t>发展</w:t>
      </w:r>
      <w:r>
        <w:rPr>
          <w:rFonts w:hint="eastAsia" w:cs="Arial"/>
        </w:rPr>
        <w:t>需求。在确保中央的领导与协调能力的同时，应鼓励地方因地制宜采取差异化政策，以推动公共财政向更适应地方比较优势和战略定位的模式转型。在经济增长放缓的时期，对具有经济增长潜力的沿海地区和区域中心城市，也需合理地借助债务融资，推动这些地区更好地发挥引领发展的作用。</w:t>
      </w:r>
    </w:p>
    <w:p>
      <w:pPr>
        <w:rPr>
          <w:rFonts w:cs="Arial"/>
        </w:rPr>
      </w:pPr>
    </w:p>
    <w:p>
      <w:pPr>
        <w:rPr>
          <w:rFonts w:cs="Arial"/>
        </w:rPr>
      </w:pPr>
    </w:p>
    <w:p>
      <w:pPr>
        <w:rPr>
          <w:rFonts w:cs="Arial"/>
        </w:rPr>
      </w:pPr>
      <w:r>
        <w:rPr>
          <w:rFonts w:hint="eastAsia" w:cs="Arial"/>
        </w:rPr>
        <w:t>参考文献：</w:t>
      </w:r>
    </w:p>
    <w:p>
      <w:pPr>
        <w:rPr>
          <w:rFonts w:cs="Arial"/>
        </w:rPr>
      </w:pPr>
    </w:p>
    <w:p>
      <w:pPr>
        <w:rPr>
          <w:color w:val="000000"/>
        </w:rPr>
      </w:pPr>
      <w:r>
        <w:rPr>
          <w:rFonts w:hint="eastAsia"/>
          <w:color w:val="000000"/>
        </w:rPr>
        <w:t>常晨</w:t>
      </w:r>
      <w:r>
        <w:rPr>
          <w:color w:val="000000"/>
        </w:rPr>
        <w:t xml:space="preserve">, </w:t>
      </w:r>
      <w:r>
        <w:rPr>
          <w:rFonts w:hint="eastAsia"/>
          <w:color w:val="000000"/>
        </w:rPr>
        <w:t>陆铭</w:t>
      </w:r>
      <w:r>
        <w:rPr>
          <w:color w:val="000000"/>
        </w:rPr>
        <w:t xml:space="preserve">. </w:t>
      </w:r>
      <w:r>
        <w:rPr>
          <w:rFonts w:hint="eastAsia"/>
          <w:color w:val="000000"/>
        </w:rPr>
        <w:t>新城之殇——密度、距离与债务</w:t>
      </w:r>
      <w:r>
        <w:rPr>
          <w:color w:val="000000"/>
        </w:rPr>
        <w:t xml:space="preserve">. </w:t>
      </w:r>
      <w:r>
        <w:rPr>
          <w:rFonts w:hint="eastAsia"/>
          <w:color w:val="000000"/>
        </w:rPr>
        <w:t>经济学（季刊）</w:t>
      </w:r>
      <w:r>
        <w:rPr>
          <w:color w:val="000000"/>
        </w:rPr>
        <w:t>, 2017, 16(4): 1621-1642.</w:t>
      </w:r>
    </w:p>
    <w:p>
      <w:pPr>
        <w:rPr>
          <w:color w:val="000000"/>
        </w:rPr>
      </w:pPr>
      <w:r>
        <w:rPr>
          <w:rFonts w:hint="eastAsia"/>
          <w:color w:val="000000"/>
        </w:rPr>
        <w:t>李鹏飞</w:t>
      </w:r>
      <w:r>
        <w:rPr>
          <w:color w:val="000000"/>
        </w:rPr>
        <w:t xml:space="preserve">, </w:t>
      </w:r>
      <w:r>
        <w:rPr>
          <w:rFonts w:hint="eastAsia"/>
          <w:color w:val="000000"/>
        </w:rPr>
        <w:t>陆铭</w:t>
      </w:r>
      <w:r>
        <w:rPr>
          <w:color w:val="000000"/>
        </w:rPr>
        <w:t xml:space="preserve">. </w:t>
      </w:r>
      <w:r>
        <w:rPr>
          <w:rFonts w:hint="eastAsia"/>
          <w:color w:val="000000"/>
        </w:rPr>
        <w:t>大国空间治理的经济学分析</w:t>
      </w:r>
      <w:r>
        <w:rPr>
          <w:color w:val="000000"/>
        </w:rPr>
        <w:t xml:space="preserve">. </w:t>
      </w:r>
      <w:r>
        <w:rPr>
          <w:rFonts w:hint="eastAsia"/>
          <w:color w:val="000000"/>
        </w:rPr>
        <w:t>经济科学</w:t>
      </w:r>
      <w:r>
        <w:rPr>
          <w:color w:val="000000"/>
        </w:rPr>
        <w:t>, 2022(6): 5-21.</w:t>
      </w:r>
    </w:p>
    <w:p>
      <w:pPr>
        <w:rPr>
          <w:color w:val="000000"/>
        </w:rPr>
      </w:pPr>
      <w:r>
        <w:rPr>
          <w:rFonts w:hint="eastAsia"/>
          <w:color w:val="000000"/>
        </w:rPr>
        <w:t>陆铭</w:t>
      </w:r>
      <w:r>
        <w:rPr>
          <w:color w:val="000000"/>
        </w:rPr>
        <w:t xml:space="preserve">. </w:t>
      </w:r>
      <w:r>
        <w:rPr>
          <w:rFonts w:hint="eastAsia"/>
          <w:color w:val="000000"/>
        </w:rPr>
        <w:t>面向长期、全局、多维发展：中国道路的政治经济学</w:t>
      </w:r>
      <w:r>
        <w:rPr>
          <w:color w:val="000000"/>
        </w:rPr>
        <w:t xml:space="preserve">. </w:t>
      </w:r>
      <w:r>
        <w:rPr>
          <w:rFonts w:hint="eastAsia"/>
          <w:color w:val="000000"/>
        </w:rPr>
        <w:t>学术月刊</w:t>
      </w:r>
      <w:r>
        <w:rPr>
          <w:color w:val="000000"/>
        </w:rPr>
        <w:t>, 2022(3): 58-71.</w:t>
      </w:r>
    </w:p>
    <w:p>
      <w:pPr>
        <w:rPr>
          <w:color w:val="000000"/>
        </w:rPr>
      </w:pPr>
      <w:r>
        <w:rPr>
          <w:rFonts w:hint="eastAsia"/>
          <w:color w:val="000000"/>
        </w:rPr>
        <w:t>陆铭, 李鹏飞. 城乡和区域协调发展. 经济研究, 2022, 57(08): 16-25.</w:t>
      </w:r>
    </w:p>
    <w:p>
      <w:pPr>
        <w:rPr>
          <w:color w:val="000000"/>
        </w:rPr>
      </w:pPr>
      <w:r>
        <w:rPr>
          <w:rFonts w:hint="eastAsia"/>
          <w:color w:val="000000"/>
        </w:rPr>
        <w:t>陆铭</w:t>
      </w:r>
      <w:r>
        <w:rPr>
          <w:color w:val="000000"/>
        </w:rPr>
        <w:t xml:space="preserve">, </w:t>
      </w:r>
      <w:r>
        <w:rPr>
          <w:rFonts w:hint="eastAsia"/>
          <w:color w:val="000000"/>
        </w:rPr>
        <w:t>李鹏飞</w:t>
      </w:r>
      <w:r>
        <w:rPr>
          <w:color w:val="000000"/>
        </w:rPr>
        <w:t xml:space="preserve">, </w:t>
      </w:r>
      <w:r>
        <w:rPr>
          <w:rFonts w:hint="eastAsia"/>
          <w:color w:val="000000"/>
        </w:rPr>
        <w:t>钟辉勇</w:t>
      </w:r>
      <w:r>
        <w:rPr>
          <w:color w:val="000000"/>
        </w:rPr>
        <w:t xml:space="preserve">. </w:t>
      </w:r>
      <w:r>
        <w:rPr>
          <w:rFonts w:hint="eastAsia"/>
          <w:color w:val="000000"/>
        </w:rPr>
        <w:t>发展与平衡的新时代——新中国</w:t>
      </w:r>
      <w:r>
        <w:rPr>
          <w:color w:val="000000"/>
        </w:rPr>
        <w:t>70</w:t>
      </w:r>
      <w:r>
        <w:rPr>
          <w:rFonts w:hint="eastAsia"/>
          <w:color w:val="000000"/>
        </w:rPr>
        <w:t>年的空间政治经济学</w:t>
      </w:r>
      <w:r>
        <w:rPr>
          <w:color w:val="000000"/>
        </w:rPr>
        <w:t xml:space="preserve">. </w:t>
      </w:r>
      <w:r>
        <w:rPr>
          <w:rFonts w:hint="eastAsia"/>
          <w:color w:val="000000"/>
        </w:rPr>
        <w:t>管理世界</w:t>
      </w:r>
      <w:r>
        <w:rPr>
          <w:color w:val="000000"/>
        </w:rPr>
        <w:t>, 2019(10): 11-23+63-219.</w:t>
      </w:r>
    </w:p>
    <w:p>
      <w:pPr>
        <w:rPr>
          <w:color w:val="000000"/>
        </w:rPr>
      </w:pPr>
      <w:r>
        <w:rPr>
          <w:rFonts w:hint="eastAsia"/>
          <w:color w:val="000000"/>
        </w:rPr>
        <w:t>陆铭</w:t>
      </w:r>
      <w:r>
        <w:rPr>
          <w:color w:val="000000"/>
        </w:rPr>
        <w:t xml:space="preserve">, </w:t>
      </w:r>
      <w:r>
        <w:rPr>
          <w:rFonts w:hint="eastAsia"/>
          <w:color w:val="000000"/>
        </w:rPr>
        <w:t>向宽虎</w:t>
      </w:r>
      <w:r>
        <w:rPr>
          <w:color w:val="000000"/>
        </w:rPr>
        <w:t xml:space="preserve">, </w:t>
      </w:r>
      <w:r>
        <w:rPr>
          <w:rFonts w:hint="eastAsia"/>
          <w:color w:val="000000"/>
        </w:rPr>
        <w:t>李鹏飞</w:t>
      </w:r>
      <w:r>
        <w:rPr>
          <w:color w:val="000000"/>
        </w:rPr>
        <w:t xml:space="preserve">, </w:t>
      </w:r>
      <w:r>
        <w:rPr>
          <w:rFonts w:hint="eastAsia"/>
          <w:color w:val="000000"/>
        </w:rPr>
        <w:t>李杰伟</w:t>
      </w:r>
      <w:r>
        <w:rPr>
          <w:color w:val="000000"/>
        </w:rPr>
        <w:t xml:space="preserve">, </w:t>
      </w:r>
      <w:r>
        <w:rPr>
          <w:rFonts w:hint="eastAsia"/>
          <w:color w:val="000000"/>
        </w:rPr>
        <w:t>钟粤俊</w:t>
      </w:r>
      <w:r>
        <w:rPr>
          <w:color w:val="000000"/>
        </w:rPr>
        <w:t xml:space="preserve">. </w:t>
      </w:r>
      <w:r>
        <w:rPr>
          <w:rFonts w:hint="eastAsia"/>
          <w:color w:val="000000"/>
        </w:rPr>
        <w:t>分工与协调：区域发展的新格局、新理论与新路径</w:t>
      </w:r>
      <w:r>
        <w:rPr>
          <w:color w:val="000000"/>
        </w:rPr>
        <w:t xml:space="preserve">. </w:t>
      </w:r>
      <w:r>
        <w:rPr>
          <w:rFonts w:hint="eastAsia"/>
          <w:color w:val="000000"/>
        </w:rPr>
        <w:t>中国工业经济</w:t>
      </w:r>
      <w:r>
        <w:rPr>
          <w:color w:val="000000"/>
        </w:rPr>
        <w:t>, 2023(8): 5-22.</w:t>
      </w:r>
    </w:p>
    <w:p>
      <w:pPr>
        <w:rPr>
          <w:color w:val="000000"/>
        </w:rPr>
      </w:pPr>
      <w:r>
        <w:rPr>
          <w:rFonts w:hint="eastAsia"/>
          <w:color w:val="000000"/>
        </w:rPr>
        <w:t>彭冲</w:t>
      </w:r>
      <w:r>
        <w:rPr>
          <w:color w:val="000000"/>
        </w:rPr>
        <w:t xml:space="preserve">, </w:t>
      </w:r>
      <w:r>
        <w:rPr>
          <w:rFonts w:hint="eastAsia"/>
          <w:color w:val="000000"/>
        </w:rPr>
        <w:t>陆铭</w:t>
      </w:r>
      <w:r>
        <w:rPr>
          <w:color w:val="000000"/>
        </w:rPr>
        <w:t xml:space="preserve">. </w:t>
      </w:r>
      <w:r>
        <w:rPr>
          <w:rFonts w:hint="eastAsia"/>
          <w:color w:val="000000"/>
        </w:rPr>
        <w:t>从新城看治理：增长目标短期化下的建城热潮及后果</w:t>
      </w:r>
      <w:r>
        <w:rPr>
          <w:color w:val="000000"/>
        </w:rPr>
        <w:t xml:space="preserve">. </w:t>
      </w:r>
      <w:r>
        <w:rPr>
          <w:rFonts w:hint="eastAsia"/>
          <w:color w:val="000000"/>
        </w:rPr>
        <w:t>管理世界</w:t>
      </w:r>
      <w:r>
        <w:rPr>
          <w:color w:val="000000"/>
        </w:rPr>
        <w:t>, 2019, 35(08): 44-57+190-191.</w:t>
      </w:r>
    </w:p>
    <w:p>
      <w:pPr>
        <w:rPr>
          <w:color w:val="000000"/>
        </w:rPr>
      </w:pPr>
      <w:r>
        <w:rPr>
          <w:rFonts w:hint="eastAsia"/>
          <w:color w:val="000000"/>
        </w:rPr>
        <w:t>邱志刚</w:t>
      </w:r>
      <w:r>
        <w:rPr>
          <w:color w:val="000000"/>
        </w:rPr>
        <w:t xml:space="preserve">, </w:t>
      </w:r>
      <w:r>
        <w:rPr>
          <w:rFonts w:hint="eastAsia"/>
          <w:color w:val="000000"/>
        </w:rPr>
        <w:t>王子悦</w:t>
      </w:r>
      <w:r>
        <w:rPr>
          <w:color w:val="000000"/>
        </w:rPr>
        <w:t xml:space="preserve">, </w:t>
      </w:r>
      <w:r>
        <w:rPr>
          <w:rFonts w:hint="eastAsia"/>
          <w:color w:val="000000"/>
        </w:rPr>
        <w:t>王卓</w:t>
      </w:r>
      <w:r>
        <w:rPr>
          <w:color w:val="000000"/>
        </w:rPr>
        <w:t xml:space="preserve">. </w:t>
      </w:r>
      <w:r>
        <w:rPr>
          <w:rFonts w:hint="eastAsia"/>
          <w:color w:val="000000"/>
        </w:rPr>
        <w:t>地方政府债务置换与新增隐性债务——基于城投债发行规模与定价的分析</w:t>
      </w:r>
      <w:r>
        <w:rPr>
          <w:color w:val="000000"/>
        </w:rPr>
        <w:t xml:space="preserve">. </w:t>
      </w:r>
      <w:r>
        <w:rPr>
          <w:rFonts w:hint="eastAsia"/>
          <w:color w:val="000000"/>
        </w:rPr>
        <w:t>中国工业经济</w:t>
      </w:r>
      <w:r>
        <w:rPr>
          <w:color w:val="000000"/>
        </w:rPr>
        <w:t>, 2022(4): 42-60.</w:t>
      </w:r>
    </w:p>
    <w:p>
      <w:pPr>
        <w:rPr>
          <w:color w:val="000000"/>
        </w:rPr>
      </w:pPr>
      <w:r>
        <w:rPr>
          <w:rFonts w:hint="eastAsia"/>
          <w:color w:val="000000"/>
        </w:rPr>
        <w:t>聂卓</w:t>
      </w:r>
      <w:r>
        <w:rPr>
          <w:color w:val="000000"/>
        </w:rPr>
        <w:t xml:space="preserve">, </w:t>
      </w:r>
      <w:r>
        <w:rPr>
          <w:rFonts w:hint="eastAsia"/>
          <w:color w:val="000000"/>
        </w:rPr>
        <w:t>刘松瑞</w:t>
      </w:r>
      <w:r>
        <w:rPr>
          <w:color w:val="000000"/>
        </w:rPr>
        <w:t xml:space="preserve">, </w:t>
      </w:r>
      <w:r>
        <w:rPr>
          <w:rFonts w:hint="eastAsia"/>
          <w:color w:val="000000"/>
        </w:rPr>
        <w:t>玄威</w:t>
      </w:r>
      <w:r>
        <w:rPr>
          <w:color w:val="000000"/>
        </w:rPr>
        <w:t xml:space="preserve">. </w:t>
      </w:r>
      <w:r>
        <w:rPr>
          <w:rFonts w:hint="eastAsia"/>
          <w:color w:val="000000"/>
        </w:rPr>
        <w:t>从“主动负债”到“被动负债”</w:t>
      </w:r>
      <w:r>
        <w:rPr>
          <w:color w:val="000000"/>
        </w:rPr>
        <w:t>:</w:t>
      </w:r>
      <w:r>
        <w:rPr>
          <w:rFonts w:hint="eastAsia"/>
          <w:color w:val="000000"/>
        </w:rPr>
        <w:t>中央监管转变下的隐性债务扩张变化</w:t>
      </w:r>
      <w:r>
        <w:rPr>
          <w:color w:val="000000"/>
        </w:rPr>
        <w:t xml:space="preserve">. </w:t>
      </w:r>
      <w:r>
        <w:rPr>
          <w:rFonts w:hint="eastAsia"/>
          <w:color w:val="000000"/>
        </w:rPr>
        <w:t>经济学（季刊）</w:t>
      </w:r>
      <w:r>
        <w:rPr>
          <w:color w:val="000000"/>
        </w:rPr>
        <w:t>, 2023, 23(06): 2136-2155.</w:t>
      </w:r>
    </w:p>
    <w:p>
      <w:pPr>
        <w:rPr>
          <w:color w:val="000000"/>
        </w:rPr>
      </w:pPr>
      <w:r>
        <w:rPr>
          <w:rFonts w:hint="eastAsia"/>
          <w:color w:val="000000"/>
        </w:rPr>
        <w:t>陶然</w:t>
      </w:r>
      <w:r>
        <w:rPr>
          <w:color w:val="000000"/>
        </w:rPr>
        <w:t xml:space="preserve">, </w:t>
      </w:r>
      <w:r>
        <w:rPr>
          <w:rFonts w:hint="eastAsia"/>
          <w:color w:val="000000"/>
        </w:rPr>
        <w:t>余家林</w:t>
      </w:r>
      <w:r>
        <w:rPr>
          <w:color w:val="000000"/>
        </w:rPr>
        <w:t xml:space="preserve">. </w:t>
      </w:r>
      <w:r>
        <w:rPr>
          <w:rFonts w:hint="eastAsia"/>
          <w:color w:val="000000"/>
        </w:rPr>
        <w:t>中国增长模式视角下的地方债务风险及其化解</w:t>
      </w:r>
      <w:r>
        <w:rPr>
          <w:color w:val="000000"/>
        </w:rPr>
        <w:t xml:space="preserve">. </w:t>
      </w:r>
      <w:r>
        <w:rPr>
          <w:rFonts w:hint="eastAsia"/>
          <w:color w:val="000000"/>
        </w:rPr>
        <w:t>中国政法大学学报</w:t>
      </w:r>
      <w:r>
        <w:rPr>
          <w:color w:val="000000"/>
        </w:rPr>
        <w:t>, 2024(02): 72-90.</w:t>
      </w:r>
    </w:p>
    <w:p>
      <w:pPr>
        <w:rPr>
          <w:color w:val="000000"/>
        </w:rPr>
      </w:pPr>
      <w:r>
        <w:rPr>
          <w:rFonts w:hint="eastAsia"/>
          <w:color w:val="000000"/>
        </w:rPr>
        <w:t>王永钦</w:t>
      </w:r>
      <w:r>
        <w:rPr>
          <w:color w:val="000000"/>
        </w:rPr>
        <w:t xml:space="preserve">, </w:t>
      </w:r>
      <w:r>
        <w:rPr>
          <w:rFonts w:hint="eastAsia"/>
          <w:color w:val="000000"/>
        </w:rPr>
        <w:t>戴芸</w:t>
      </w:r>
      <w:r>
        <w:rPr>
          <w:color w:val="000000"/>
        </w:rPr>
        <w:t xml:space="preserve">, </w:t>
      </w:r>
      <w:r>
        <w:rPr>
          <w:rFonts w:hint="eastAsia"/>
          <w:color w:val="000000"/>
        </w:rPr>
        <w:t>包特</w:t>
      </w:r>
      <w:r>
        <w:rPr>
          <w:color w:val="000000"/>
        </w:rPr>
        <w:t xml:space="preserve">. </w:t>
      </w:r>
      <w:r>
        <w:rPr>
          <w:rFonts w:hint="eastAsia"/>
          <w:color w:val="000000"/>
        </w:rPr>
        <w:t>财政分权下的地方政府债券设计：不同发行方式与最优信息准确度</w:t>
      </w:r>
      <w:r>
        <w:rPr>
          <w:color w:val="000000"/>
        </w:rPr>
        <w:t xml:space="preserve">. </w:t>
      </w:r>
      <w:r>
        <w:rPr>
          <w:rFonts w:hint="eastAsia"/>
          <w:color w:val="000000"/>
        </w:rPr>
        <w:t>经济研究</w:t>
      </w:r>
      <w:r>
        <w:rPr>
          <w:color w:val="000000"/>
        </w:rPr>
        <w:t>, 2015, 50(11): 65-78.</w:t>
      </w:r>
    </w:p>
    <w:p>
      <w:pPr>
        <w:rPr>
          <w:color w:val="000000"/>
        </w:rPr>
      </w:pPr>
      <w:r>
        <w:rPr>
          <w:rFonts w:hint="eastAsia"/>
          <w:color w:val="000000"/>
        </w:rPr>
        <w:t>吴敏</w:t>
      </w:r>
      <w:r>
        <w:rPr>
          <w:color w:val="000000"/>
        </w:rPr>
        <w:t xml:space="preserve">, </w:t>
      </w:r>
      <w:r>
        <w:rPr>
          <w:rFonts w:hint="eastAsia"/>
          <w:color w:val="000000"/>
        </w:rPr>
        <w:t>曹婧</w:t>
      </w:r>
      <w:r>
        <w:rPr>
          <w:color w:val="000000"/>
        </w:rPr>
        <w:t xml:space="preserve">, </w:t>
      </w:r>
      <w:r>
        <w:rPr>
          <w:rFonts w:hint="eastAsia"/>
          <w:color w:val="000000"/>
        </w:rPr>
        <w:t>毛捷</w:t>
      </w:r>
      <w:r>
        <w:rPr>
          <w:color w:val="000000"/>
        </w:rPr>
        <w:t xml:space="preserve">. </w:t>
      </w:r>
      <w:r>
        <w:rPr>
          <w:rFonts w:hint="eastAsia"/>
          <w:color w:val="000000"/>
        </w:rPr>
        <w:t>地方公共债务与企业全要素生产率：效应与机制</w:t>
      </w:r>
      <w:r>
        <w:rPr>
          <w:color w:val="000000"/>
        </w:rPr>
        <w:t xml:space="preserve">. </w:t>
      </w:r>
      <w:r>
        <w:rPr>
          <w:rFonts w:hint="eastAsia"/>
          <w:color w:val="000000"/>
        </w:rPr>
        <w:t>经济研究</w:t>
      </w:r>
      <w:r>
        <w:rPr>
          <w:color w:val="000000"/>
        </w:rPr>
        <w:t>, 2022, 57(01): 107-121.</w:t>
      </w:r>
    </w:p>
    <w:p>
      <w:pPr>
        <w:rPr>
          <w:color w:val="000000"/>
        </w:rPr>
      </w:pPr>
      <w:r>
        <w:rPr>
          <w:rFonts w:hint="eastAsia"/>
          <w:color w:val="000000"/>
        </w:rPr>
        <w:t>习近平</w:t>
      </w:r>
      <w:r>
        <w:rPr>
          <w:color w:val="000000"/>
        </w:rPr>
        <w:t xml:space="preserve">. </w:t>
      </w:r>
      <w:r>
        <w:rPr>
          <w:rFonts w:hint="eastAsia"/>
          <w:color w:val="000000"/>
        </w:rPr>
        <w:t>习近平著作选读</w:t>
      </w:r>
      <w:r>
        <w:rPr>
          <w:color w:val="000000"/>
        </w:rPr>
        <w:t xml:space="preserve"> </w:t>
      </w:r>
      <w:r>
        <w:rPr>
          <w:rFonts w:hint="eastAsia"/>
          <w:color w:val="000000"/>
        </w:rPr>
        <w:t>第一卷</w:t>
      </w:r>
      <w:r>
        <w:rPr>
          <w:color w:val="000000"/>
        </w:rPr>
        <w:t xml:space="preserve">. </w:t>
      </w:r>
      <w:r>
        <w:rPr>
          <w:rFonts w:hint="eastAsia"/>
          <w:color w:val="000000"/>
        </w:rPr>
        <w:t>北京</w:t>
      </w:r>
      <w:r>
        <w:rPr>
          <w:color w:val="000000"/>
        </w:rPr>
        <w:t xml:space="preserve">: </w:t>
      </w:r>
      <w:r>
        <w:rPr>
          <w:rFonts w:hint="eastAsia"/>
          <w:color w:val="000000"/>
        </w:rPr>
        <w:t>人民出版社</w:t>
      </w:r>
      <w:r>
        <w:rPr>
          <w:color w:val="000000"/>
        </w:rPr>
        <w:t>, 2023: 620-621.</w:t>
      </w:r>
    </w:p>
    <w:p>
      <w:pPr>
        <w:rPr>
          <w:color w:val="000000"/>
        </w:rPr>
      </w:pPr>
      <w:r>
        <w:rPr>
          <w:rFonts w:hint="eastAsia"/>
          <w:color w:val="000000"/>
        </w:rPr>
        <w:t>新华社</w:t>
      </w:r>
      <w:r>
        <w:rPr>
          <w:color w:val="000000"/>
        </w:rPr>
        <w:t xml:space="preserve">. </w:t>
      </w:r>
      <w:r>
        <w:rPr>
          <w:rFonts w:hint="eastAsia"/>
          <w:color w:val="000000"/>
        </w:rPr>
        <w:t>李强在国务院防范化解地方债务风险工作视频会议上强调</w:t>
      </w:r>
      <w:r>
        <w:rPr>
          <w:color w:val="000000"/>
        </w:rPr>
        <w:t xml:space="preserve"> </w:t>
      </w:r>
      <w:r>
        <w:rPr>
          <w:rFonts w:hint="eastAsia"/>
          <w:color w:val="000000"/>
        </w:rPr>
        <w:t>进一步强化责任意识和系统观念</w:t>
      </w:r>
      <w:r>
        <w:rPr>
          <w:color w:val="000000"/>
        </w:rPr>
        <w:t xml:space="preserve"> </w:t>
      </w:r>
      <w:r>
        <w:rPr>
          <w:rFonts w:hint="eastAsia"/>
          <w:color w:val="000000"/>
        </w:rPr>
        <w:t>持续推进地方债务风险防范化解工作</w:t>
      </w:r>
      <w:r>
        <w:rPr>
          <w:color w:val="000000"/>
        </w:rPr>
        <w:t xml:space="preserve"> </w:t>
      </w:r>
      <w:r>
        <w:rPr>
          <w:rFonts w:hint="eastAsia"/>
          <w:color w:val="000000"/>
        </w:rPr>
        <w:t>丁薛祥主持会议</w:t>
      </w:r>
      <w:r>
        <w:rPr>
          <w:color w:val="000000"/>
        </w:rPr>
        <w:t xml:space="preserve">. </w:t>
      </w:r>
      <w:r>
        <w:rPr>
          <w:rFonts w:hint="eastAsia"/>
          <w:color w:val="000000"/>
        </w:rPr>
        <w:t>载于中国政府网</w:t>
      </w:r>
      <w:r>
        <w:rPr>
          <w:color w:val="000000"/>
        </w:rPr>
        <w:t>. 2024</w:t>
      </w:r>
      <w:r>
        <w:rPr>
          <w:rFonts w:hint="eastAsia"/>
          <w:color w:val="000000"/>
        </w:rPr>
        <w:t>年</w:t>
      </w:r>
      <w:r>
        <w:rPr>
          <w:color w:val="000000"/>
        </w:rPr>
        <w:t>3</w:t>
      </w:r>
      <w:r>
        <w:rPr>
          <w:rFonts w:hint="eastAsia"/>
          <w:color w:val="000000"/>
        </w:rPr>
        <w:t>月</w:t>
      </w:r>
      <w:r>
        <w:rPr>
          <w:color w:val="000000"/>
        </w:rPr>
        <w:t>22</w:t>
      </w:r>
      <w:r>
        <w:rPr>
          <w:rFonts w:hint="eastAsia"/>
          <w:color w:val="000000"/>
        </w:rPr>
        <w:t>日</w:t>
      </w:r>
      <w:r>
        <w:rPr>
          <w:color w:val="000000"/>
        </w:rPr>
        <w:t>. https://www.gov.cn/yaowen/liebiao/202403/content_6940978.htm.</w:t>
      </w:r>
    </w:p>
    <w:p>
      <w:pPr>
        <w:rPr>
          <w:color w:val="000000"/>
        </w:rPr>
      </w:pPr>
      <w:r>
        <w:rPr>
          <w:rFonts w:hint="eastAsia"/>
          <w:color w:val="000000"/>
        </w:rPr>
        <w:t>钟辉勇, 陆铭. 中国经济的欧洲化——统一货币区、央地关系和地方政府债务. 学术月刊, 2015, 47(10): 63-71.</w:t>
      </w:r>
    </w:p>
    <w:p>
      <w:pPr>
        <w:rPr>
          <w:color w:val="000000"/>
        </w:rPr>
      </w:pPr>
      <w:r>
        <w:rPr>
          <w:rFonts w:hint="eastAsia"/>
          <w:color w:val="000000"/>
        </w:rPr>
        <w:t>钟辉勇</w:t>
      </w:r>
      <w:r>
        <w:rPr>
          <w:color w:val="000000"/>
        </w:rPr>
        <w:t>,</w:t>
      </w:r>
      <w:r>
        <w:rPr>
          <w:rFonts w:hint="eastAsia"/>
          <w:color w:val="000000"/>
        </w:rPr>
        <w:t xml:space="preserve"> 陆铭</w:t>
      </w:r>
      <w:r>
        <w:rPr>
          <w:color w:val="000000"/>
        </w:rPr>
        <w:t>,</w:t>
      </w:r>
      <w:r>
        <w:rPr>
          <w:rFonts w:hint="eastAsia"/>
          <w:color w:val="000000"/>
        </w:rPr>
        <w:t xml:space="preserve"> 李瑞峰</w:t>
      </w:r>
      <w:r>
        <w:rPr>
          <w:color w:val="000000"/>
        </w:rPr>
        <w:t xml:space="preserve">. </w:t>
      </w:r>
      <w:r>
        <w:rPr>
          <w:rFonts w:hint="eastAsia"/>
          <w:color w:val="000000"/>
        </w:rPr>
        <w:t>增长、补贴与债务：统一货币区的空间政治经济学</w:t>
      </w:r>
      <w:r>
        <w:rPr>
          <w:color w:val="000000"/>
        </w:rPr>
        <w:t xml:space="preserve">. </w:t>
      </w:r>
      <w:r>
        <w:rPr>
          <w:rFonts w:hint="eastAsia"/>
          <w:color w:val="000000"/>
        </w:rPr>
        <w:t>中国人民大学学报</w:t>
      </w:r>
      <w:r>
        <w:rPr>
          <w:color w:val="000000"/>
        </w:rPr>
        <w:t>, 2022(6): 75-88.</w:t>
      </w:r>
    </w:p>
    <w:p>
      <w:pPr>
        <w:rPr>
          <w:color w:val="000000"/>
        </w:rPr>
      </w:pPr>
      <w:r>
        <w:rPr>
          <w:rFonts w:hint="eastAsia"/>
          <w:color w:val="000000"/>
        </w:rPr>
        <w:t>钟宁桦</w:t>
      </w:r>
      <w:r>
        <w:rPr>
          <w:color w:val="000000"/>
        </w:rPr>
        <w:t xml:space="preserve">, </w:t>
      </w:r>
      <w:r>
        <w:rPr>
          <w:rFonts w:hint="eastAsia"/>
          <w:color w:val="000000"/>
        </w:rPr>
        <w:t>陈姗姗</w:t>
      </w:r>
      <w:r>
        <w:rPr>
          <w:color w:val="000000"/>
        </w:rPr>
        <w:t xml:space="preserve">, </w:t>
      </w:r>
      <w:r>
        <w:rPr>
          <w:rFonts w:hint="eastAsia"/>
          <w:color w:val="000000"/>
        </w:rPr>
        <w:t>马惠娴</w:t>
      </w:r>
      <w:r>
        <w:rPr>
          <w:color w:val="000000"/>
        </w:rPr>
        <w:t xml:space="preserve">, </w:t>
      </w:r>
      <w:r>
        <w:rPr>
          <w:rFonts w:hint="eastAsia"/>
          <w:color w:val="000000"/>
        </w:rPr>
        <w:t>王姝晶</w:t>
      </w:r>
      <w:r>
        <w:rPr>
          <w:color w:val="000000"/>
        </w:rPr>
        <w:t xml:space="preserve">. </w:t>
      </w:r>
      <w:r>
        <w:rPr>
          <w:rFonts w:hint="eastAsia"/>
          <w:color w:val="000000"/>
        </w:rPr>
        <w:t>地方融资平台债务风险的演化——基于对“隐性担保”预期的测度</w:t>
      </w:r>
      <w:r>
        <w:rPr>
          <w:color w:val="000000"/>
        </w:rPr>
        <w:t xml:space="preserve">. </w:t>
      </w:r>
      <w:r>
        <w:rPr>
          <w:rFonts w:hint="eastAsia"/>
          <w:color w:val="000000"/>
        </w:rPr>
        <w:t>中国工业经济</w:t>
      </w:r>
      <w:r>
        <w:rPr>
          <w:color w:val="000000"/>
        </w:rPr>
        <w:t>, 2021(4): 5-23.</w:t>
      </w:r>
    </w:p>
    <w:p>
      <w:pPr>
        <w:rPr>
          <w:color w:val="000000"/>
        </w:rPr>
      </w:pPr>
      <w:r>
        <w:rPr>
          <w:color w:val="000000"/>
        </w:rPr>
        <w:t>Agrawal, D. R., Hoyt, W. H., &amp; Wilson, J. D. Local Policy Choice: Theory and Empirics. Journal of Economic Literature, 2022, 60(4): 1378-1455.</w:t>
      </w:r>
    </w:p>
    <w:p>
      <w:bookmarkStart w:id="0" w:name="_Hlk168044448"/>
      <w:r>
        <w:t>Cai</w:t>
      </w:r>
      <w:r>
        <w:rPr>
          <w:rFonts w:hint="eastAsia"/>
        </w:rPr>
        <w:t xml:space="preserve">, X., </w:t>
      </w:r>
      <w:r>
        <w:t>L</w:t>
      </w:r>
      <w:r>
        <w:rPr>
          <w:rFonts w:hint="eastAsia"/>
        </w:rPr>
        <w:t>i, J.</w:t>
      </w:r>
      <w:r>
        <w:t xml:space="preserve">, </w:t>
      </w:r>
      <w:r>
        <w:rPr>
          <w:rFonts w:hint="eastAsia"/>
        </w:rPr>
        <w:t>L</w:t>
      </w:r>
      <w:r>
        <w:t>u</w:t>
      </w:r>
      <w:r>
        <w:rPr>
          <w:rFonts w:hint="eastAsia"/>
        </w:rPr>
        <w:t>, M.,</w:t>
      </w:r>
      <w:r>
        <w:t xml:space="preserve"> </w:t>
      </w:r>
      <w:r>
        <w:rPr>
          <w:rFonts w:hint="eastAsia"/>
        </w:rPr>
        <w:t>&amp;</w:t>
      </w:r>
      <w:r>
        <w:t xml:space="preserve"> Zhong</w:t>
      </w:r>
      <w:r>
        <w:rPr>
          <w:rFonts w:hint="eastAsia"/>
        </w:rPr>
        <w:t xml:space="preserve">, H. </w:t>
      </w:r>
      <w:r>
        <w:t>Regional Currency Overvaluation and Labor Market in a Single Currency Area: Evidence from China</w:t>
      </w:r>
      <w:r>
        <w:rPr>
          <w:rFonts w:hint="eastAsia"/>
        </w:rPr>
        <w:t>, 2024, Shanghai Jiao Tong University Working Paper.</w:t>
      </w:r>
    </w:p>
    <w:p>
      <w:pPr>
        <w:rPr>
          <w:color w:val="000000"/>
        </w:rPr>
      </w:pPr>
      <w:r>
        <w:t>Cai</w:t>
      </w:r>
      <w:r>
        <w:rPr>
          <w:rFonts w:hint="eastAsia"/>
        </w:rPr>
        <w:t>, X., L</w:t>
      </w:r>
      <w:r>
        <w:t>u</w:t>
      </w:r>
      <w:r>
        <w:rPr>
          <w:rFonts w:hint="eastAsia"/>
        </w:rPr>
        <w:t>, M.</w:t>
      </w:r>
      <w:r>
        <w:t>, Xu</w:t>
      </w:r>
      <w:r>
        <w:rPr>
          <w:rFonts w:hint="eastAsia"/>
        </w:rPr>
        <w:t>, L.,</w:t>
      </w:r>
      <w:r>
        <w:t xml:space="preserve"> </w:t>
      </w:r>
      <w:r>
        <w:rPr>
          <w:rFonts w:hint="eastAsia"/>
        </w:rPr>
        <w:t xml:space="preserve">&amp; </w:t>
      </w:r>
      <w:r>
        <w:t>Zhong</w:t>
      </w:r>
      <w:r>
        <w:rPr>
          <w:rFonts w:hint="eastAsia"/>
        </w:rPr>
        <w:t>, H. Central-Local Relationship and Local Government Debt, 2024, Shanghai Jiao Tong University Working Paper.</w:t>
      </w:r>
      <w:bookmarkEnd w:id="0"/>
    </w:p>
    <w:p>
      <w:pPr>
        <w:rPr>
          <w:color w:val="000000"/>
        </w:rPr>
      </w:pPr>
      <w:r>
        <w:rPr>
          <w:color w:val="000000"/>
        </w:rPr>
        <w:t>Fisher, I. The Debt-Deflation Theory of Great Depressions. Econometrica, 1933, 1(4): 337-357.</w:t>
      </w:r>
    </w:p>
    <w:p>
      <w:pPr>
        <w:rPr>
          <w:color w:val="000000"/>
        </w:rPr>
      </w:pPr>
      <w:r>
        <w:rPr>
          <w:color w:val="000000"/>
        </w:rPr>
        <w:t xml:space="preserve">Heinemann, F., Moessinger, M.-D., &amp; Yeter, M. Do </w:t>
      </w:r>
      <w:r>
        <w:rPr>
          <w:rFonts w:hint="eastAsia"/>
          <w:color w:val="000000"/>
        </w:rPr>
        <w:t>F</w:t>
      </w:r>
      <w:r>
        <w:rPr>
          <w:color w:val="000000"/>
        </w:rPr>
        <w:t xml:space="preserve">iscal </w:t>
      </w:r>
      <w:r>
        <w:rPr>
          <w:rFonts w:hint="eastAsia"/>
          <w:color w:val="000000"/>
        </w:rPr>
        <w:t>R</w:t>
      </w:r>
      <w:r>
        <w:rPr>
          <w:color w:val="000000"/>
        </w:rPr>
        <w:t xml:space="preserve">ules </w:t>
      </w:r>
      <w:r>
        <w:rPr>
          <w:rFonts w:hint="eastAsia"/>
          <w:color w:val="000000"/>
        </w:rPr>
        <w:t>C</w:t>
      </w:r>
      <w:r>
        <w:rPr>
          <w:color w:val="000000"/>
        </w:rPr>
        <w:t xml:space="preserve">onstrain </w:t>
      </w:r>
      <w:r>
        <w:rPr>
          <w:rFonts w:hint="eastAsia"/>
          <w:color w:val="000000"/>
        </w:rPr>
        <w:t>F</w:t>
      </w:r>
      <w:r>
        <w:rPr>
          <w:color w:val="000000"/>
        </w:rPr>
        <w:t xml:space="preserve">iscal policy? A </w:t>
      </w:r>
      <w:r>
        <w:rPr>
          <w:rFonts w:hint="eastAsia"/>
          <w:color w:val="000000"/>
        </w:rPr>
        <w:t>M</w:t>
      </w:r>
      <w:r>
        <w:rPr>
          <w:color w:val="000000"/>
        </w:rPr>
        <w:t>eta-</w:t>
      </w:r>
      <w:r>
        <w:rPr>
          <w:rFonts w:hint="eastAsia"/>
          <w:color w:val="000000"/>
        </w:rPr>
        <w:t>R</w:t>
      </w:r>
      <w:r>
        <w:rPr>
          <w:color w:val="000000"/>
        </w:rPr>
        <w:t>egression-</w:t>
      </w:r>
      <w:r>
        <w:rPr>
          <w:rFonts w:hint="eastAsia"/>
          <w:color w:val="000000"/>
        </w:rPr>
        <w:t>A</w:t>
      </w:r>
      <w:r>
        <w:rPr>
          <w:color w:val="000000"/>
        </w:rPr>
        <w:t>nalysis. European Journal of Political Economy, 2018, 51: 69-92.</w:t>
      </w:r>
    </w:p>
    <w:p>
      <w:pPr>
        <w:rPr>
          <w:color w:val="000000"/>
        </w:rPr>
      </w:pPr>
      <w:r>
        <w:rPr>
          <w:color w:val="000000"/>
        </w:rPr>
        <w:t xml:space="preserve">Mundell, R. A. A Theory of Optimum Currency Areas. The American Economic Review, </w:t>
      </w:r>
      <w:r>
        <w:rPr>
          <w:rFonts w:hint="eastAsia"/>
          <w:color w:val="000000"/>
        </w:rPr>
        <w:t xml:space="preserve">1961, </w:t>
      </w:r>
      <w:r>
        <w:rPr>
          <w:color w:val="000000"/>
        </w:rPr>
        <w:t>51(4)</w:t>
      </w:r>
      <w:r>
        <w:rPr>
          <w:rFonts w:hint="eastAsia"/>
          <w:color w:val="000000"/>
        </w:rPr>
        <w:t xml:space="preserve">: </w:t>
      </w:r>
      <w:r>
        <w:rPr>
          <w:color w:val="000000"/>
        </w:rPr>
        <w:t>657-665.</w: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rFonts w:hint="eastAsia"/>
          <w:color w:val="000000"/>
        </w:rPr>
      </w:pPr>
    </w:p>
    <w:p>
      <w:pPr>
        <w:jc w:val="center"/>
        <w:rPr>
          <w:rFonts w:cs="Arial"/>
          <w:sz w:val="28"/>
          <w:szCs w:val="32"/>
        </w:rPr>
      </w:pPr>
      <w:bookmarkStart w:id="1" w:name="_Hlk176372794"/>
      <w:r>
        <w:rPr>
          <w:rFonts w:cs="Arial"/>
          <w:sz w:val="28"/>
          <w:szCs w:val="32"/>
        </w:rPr>
        <w:t xml:space="preserve">Central-Local Relations and Debt: </w:t>
      </w:r>
    </w:p>
    <w:p>
      <w:pPr>
        <w:jc w:val="center"/>
        <w:rPr>
          <w:rFonts w:cs="Arial"/>
          <w:sz w:val="28"/>
          <w:szCs w:val="32"/>
        </w:rPr>
      </w:pPr>
      <w:r>
        <w:rPr>
          <w:rFonts w:cs="Arial"/>
          <w:sz w:val="28"/>
          <w:szCs w:val="32"/>
        </w:rPr>
        <w:t>A Spatial Political Economy Perspective on High-Quality Development</w:t>
      </w:r>
    </w:p>
    <w:p/>
    <w:p>
      <w:pPr>
        <w:jc w:val="center"/>
      </w:pPr>
      <w:r>
        <w:rPr>
          <w:rFonts w:hint="eastAsia"/>
        </w:rPr>
        <w:t>Abstract</w:t>
      </w:r>
    </w:p>
    <w:p/>
    <w:p>
      <w:r>
        <w:t xml:space="preserve">The central-local fiscal relationship is key </w:t>
      </w:r>
      <w:r>
        <w:rPr>
          <w:rFonts w:hint="eastAsia"/>
        </w:rPr>
        <w:t>to</w:t>
      </w:r>
      <w:r>
        <w:t xml:space="preserve"> addressing local government debt challenges. </w:t>
      </w:r>
      <w:r>
        <w:rPr>
          <w:rFonts w:hint="eastAsia"/>
        </w:rPr>
        <w:t>Using</w:t>
      </w:r>
      <w:r>
        <w:t xml:space="preserve"> a spatial political economy perspective, this paper analyzes the impact of the new Budget Law</w:t>
      </w:r>
      <w:r>
        <w:rPr>
          <w:rFonts w:hint="eastAsia"/>
        </w:rPr>
        <w:t xml:space="preserve"> in 2015</w:t>
      </w:r>
      <w:r>
        <w:t xml:space="preserve"> on improving the spatial distribution of local debt and </w:t>
      </w:r>
      <w:r>
        <w:rPr>
          <w:rFonts w:hint="eastAsia"/>
        </w:rPr>
        <w:t>provides</w:t>
      </w:r>
      <w:r>
        <w:t xml:space="preserve"> theoretical support and policy recommendations for reforming</w:t>
      </w:r>
      <w:r>
        <w:rPr>
          <w:rFonts w:hint="eastAsia"/>
        </w:rPr>
        <w:t xml:space="preserve"> the</w:t>
      </w:r>
      <w:r>
        <w:t xml:space="preserve"> central-local fiscal relations</w:t>
      </w:r>
      <w:r>
        <w:rPr>
          <w:rFonts w:hint="eastAsia"/>
        </w:rPr>
        <w:t>hip</w:t>
      </w:r>
      <w:r>
        <w:t xml:space="preserve"> to </w:t>
      </w:r>
      <w:r>
        <w:rPr>
          <w:rFonts w:hint="eastAsia"/>
        </w:rPr>
        <w:t>achieve</w:t>
      </w:r>
      <w:r>
        <w:t xml:space="preserve"> long-term, comprehensive, and multi-dimensional development goals. In the short term, efforts should focus on strengthening fiscal discipline and</w:t>
      </w:r>
      <w:r>
        <w:rPr>
          <w:rFonts w:hint="eastAsia"/>
        </w:rPr>
        <w:t xml:space="preserve"> breaking</w:t>
      </w:r>
      <w:r>
        <w:t xml:space="preserve"> the </w:t>
      </w:r>
      <w:r>
        <w:rPr>
          <w:rFonts w:hint="eastAsia"/>
        </w:rPr>
        <w:t xml:space="preserve">implicit </w:t>
      </w:r>
      <w:r>
        <w:t>expectation of central government bailouts for local governments</w:t>
      </w:r>
      <w:r>
        <w:rPr>
          <w:rFonts w:hint="eastAsia"/>
        </w:rPr>
        <w:t>(</w:t>
      </w:r>
      <w:r>
        <w:t>“</w:t>
      </w:r>
      <w:r>
        <w:rPr>
          <w:rFonts w:hint="eastAsia"/>
        </w:rPr>
        <w:t>Soft Budget Constraint Problem</w:t>
      </w:r>
      <w:r>
        <w:t>”</w:t>
      </w:r>
      <w:r>
        <w:rPr>
          <w:rFonts w:hint="eastAsia"/>
        </w:rPr>
        <w:t>)</w:t>
      </w:r>
      <w:r>
        <w:t xml:space="preserve">. In the long term, </w:t>
      </w:r>
      <w:r>
        <w:rPr>
          <w:rFonts w:hint="eastAsia"/>
        </w:rPr>
        <w:t>it is crucial to</w:t>
      </w:r>
      <w:r>
        <w:t xml:space="preserve"> accelerate the construction of a unified national market, fully leverage the functions of economic agglomeration, optimize the spatial structure of local government debt, and establish a virtuous cycle between local finance and the real economy. Based on clarifying the spatial logic of the governance of a large country, this paper proposes that deepening the reform of central-local relations will help local governments transform their growth models and steadily resolve government debt risks, ultimately achieving high-quality economic development with complementary regional advantages.</w:t>
      </w:r>
    </w:p>
    <w:p/>
    <w:p>
      <w:r>
        <w:rPr>
          <w:rFonts w:hint="eastAsia"/>
        </w:rPr>
        <w:t xml:space="preserve">Keywords: </w:t>
      </w:r>
      <w:r>
        <w:t xml:space="preserve">Central-Local Relations; Local Government Debt; Fiscal and Tax </w:t>
      </w:r>
      <w:r>
        <w:rPr>
          <w:rFonts w:hint="eastAsia"/>
        </w:rPr>
        <w:t xml:space="preserve">System </w:t>
      </w:r>
      <w:r>
        <w:t>Reform; High-Quality Development</w:t>
      </w:r>
    </w:p>
    <w:bookmarkEnd w:id="1"/>
    <w:p/>
    <w:p>
      <w:pPr>
        <w:rPr>
          <w:rFonts w:hint="eastAsia"/>
          <w:color w:val="000000"/>
          <w:highlight w:val="lightGray"/>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方正屏显雅宋简体">
    <w:altName w:val="宋体"/>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pPr>
        <w:pStyle w:val="36"/>
        <w:widowControl/>
        <w:numPr>
          <w:ilvl w:val="0"/>
          <w:numId w:val="0"/>
        </w:numPr>
        <w:autoSpaceDE w:val="0"/>
        <w:autoSpaceDN w:val="0"/>
        <w:adjustRightInd w:val="0"/>
        <w:spacing w:after="240"/>
        <w:rPr>
          <w:sz w:val="18"/>
          <w:szCs w:val="18"/>
        </w:rPr>
      </w:pPr>
      <w:r>
        <w:rPr>
          <w:rStyle w:val="22"/>
          <w:sz w:val="18"/>
          <w:szCs w:val="18"/>
        </w:rPr>
        <w:footnoteRef/>
      </w:r>
      <w:r>
        <w:rPr>
          <w:sz w:val="18"/>
          <w:szCs w:val="18"/>
        </w:rPr>
        <w:t xml:space="preserve"> </w:t>
      </w:r>
      <w:r>
        <w:rPr>
          <w:rFonts w:hint="eastAsia"/>
          <w:sz w:val="18"/>
          <w:szCs w:val="18"/>
        </w:rPr>
        <w:t>陆铭为上海交通大学安泰经济与管理学院教授、中国发展研究院执行院长；蔡心依（通讯作者）为上海交通大学安泰经济与管理学院博士研究生，</w:t>
      </w:r>
      <w:r>
        <w:rPr>
          <w:sz w:val="18"/>
          <w:szCs w:val="18"/>
        </w:rPr>
        <w:t>email:</w:t>
      </w:r>
      <w:r>
        <w:rPr>
          <w:rFonts w:hint="eastAsia"/>
          <w:sz w:val="18"/>
          <w:szCs w:val="18"/>
        </w:rPr>
        <w:t xml:space="preserve"> </w:t>
      </w:r>
      <w:r>
        <w:rPr>
          <w:sz w:val="18"/>
          <w:szCs w:val="18"/>
        </w:rPr>
        <w:t>xinyicai93@sjtu.edu.cn</w:t>
      </w:r>
      <w:r>
        <w:rPr>
          <w:rFonts w:hint="eastAsia"/>
          <w:sz w:val="18"/>
          <w:szCs w:val="18"/>
        </w:rPr>
        <w:t>；钟辉勇为上海交通大学安泰经济与管理学院、中国发展研究院副研究员。作者感谢</w:t>
      </w:r>
      <w:bookmarkStart w:id="3" w:name="_GoBack"/>
      <w:r>
        <w:rPr>
          <w:rFonts w:hint="eastAsia" w:eastAsia="宋体"/>
          <w:sz w:val="18"/>
          <w:szCs w:val="18"/>
          <w:highlight w:val="none"/>
        </w:rPr>
        <w:t>国家自然科学基金专项项目“超大规模市场的动态均衡理论与量化方法研究：结构转型与改革路径”</w:t>
      </w:r>
      <w:r>
        <w:rPr>
          <w:rFonts w:hint="eastAsia" w:eastAsia="宋体"/>
          <w:sz w:val="18"/>
          <w:szCs w:val="18"/>
          <w:highlight w:val="none"/>
          <w:lang w:eastAsia="zh-CN"/>
        </w:rPr>
        <w:t>（</w:t>
      </w:r>
      <w:r>
        <w:rPr>
          <w:rFonts w:hint="eastAsia" w:eastAsia="宋体"/>
          <w:sz w:val="18"/>
          <w:szCs w:val="18"/>
          <w:highlight w:val="none"/>
          <w:lang w:val="en-US" w:eastAsia="zh-CN"/>
        </w:rPr>
        <w:t>72342035</w:t>
      </w:r>
      <w:r>
        <w:rPr>
          <w:rFonts w:hint="eastAsia" w:eastAsia="宋体"/>
          <w:sz w:val="18"/>
          <w:szCs w:val="18"/>
          <w:highlight w:val="none"/>
          <w:lang w:eastAsia="zh-CN"/>
        </w:rPr>
        <w:t>）、</w:t>
      </w:r>
      <w:r>
        <w:rPr>
          <w:rFonts w:hint="eastAsia" w:ascii="Times New Roman" w:hAnsi="Times New Roman" w:eastAsia="宋体" w:cstheme="minorBidi"/>
          <w:sz w:val="18"/>
          <w:szCs w:val="18"/>
          <w:highlight w:val="none"/>
        </w:rPr>
        <w:t>上海交通大学现代金融研究中心，</w:t>
      </w:r>
      <w:r>
        <w:rPr>
          <w:rFonts w:hint="eastAsia" w:ascii="Times New Roman" w:hAnsi="Times New Roman" w:eastAsia="宋体"/>
          <w:b w:val="0"/>
          <w:sz w:val="18"/>
          <w:szCs w:val="18"/>
          <w:highlight w:val="none"/>
        </w:rPr>
        <w:t>《统一货币区视野下的财政、金融、货币、土地与债务的联动机制及化解》</w:t>
      </w:r>
      <w:bookmarkEnd w:id="3"/>
      <w:r>
        <w:rPr>
          <w:rFonts w:hint="eastAsia" w:ascii="Times New Roman" w:hAnsi="Times New Roman" w:cstheme="minorBidi"/>
          <w:kern w:val="2"/>
          <w:sz w:val="18"/>
          <w:szCs w:val="18"/>
          <w:shd w:val="clear"/>
        </w:rPr>
        <w:t>（</w:t>
      </w:r>
      <w:r>
        <w:rPr>
          <w:rFonts w:ascii="宋体" w:hAnsi="宋体"/>
          <w:color w:val="333333"/>
          <w:kern w:val="0"/>
          <w:sz w:val="18"/>
          <w:szCs w:val="18"/>
          <w:shd w:val="clear" w:color="auto" w:fill="FDFDFC"/>
        </w:rPr>
        <w:t>202203</w:t>
      </w:r>
      <w:r>
        <w:rPr>
          <w:rFonts w:hint="eastAsia" w:ascii="宋体" w:hAnsi="宋体" w:cs="MS Mincho"/>
          <w:color w:val="333333"/>
          <w:kern w:val="0"/>
          <w:sz w:val="18"/>
          <w:szCs w:val="18"/>
          <w:shd w:val="clear" w:color="auto" w:fill="FDFDFC"/>
        </w:rPr>
        <w:t>）的资助</w:t>
      </w:r>
      <w:r>
        <w:rPr>
          <w:rFonts w:hint="eastAsia"/>
          <w:sz w:val="18"/>
          <w:szCs w:val="18"/>
        </w:rPr>
        <w:t>。</w:t>
      </w:r>
    </w:p>
  </w:footnote>
  <w:footnote w:id="1">
    <w:p>
      <w:pPr>
        <w:pStyle w:val="15"/>
      </w:pPr>
      <w:r>
        <w:rPr>
          <w:rStyle w:val="22"/>
        </w:rPr>
        <w:footnoteRef/>
      </w:r>
      <w:r>
        <w:t xml:space="preserve"> </w:t>
      </w:r>
      <w:r>
        <w:rPr>
          <w:rFonts w:hint="eastAsia"/>
        </w:rPr>
        <w:t>收益在本地，而部分成本由其他地区承担，则出现空间负外部性，例如本地生产造成的跨界污染；如果成本在本地，而部分收益在外地，则出现空间正外部性，例如教育。</w:t>
      </w:r>
    </w:p>
  </w:footnote>
  <w:footnote w:id="2">
    <w:p>
      <w:pPr>
        <w:pStyle w:val="15"/>
        <w:rPr>
          <w:rFonts w:cs="Times New Roman"/>
        </w:rPr>
      </w:pPr>
      <w:r>
        <w:rPr>
          <w:rStyle w:val="22"/>
          <w:rFonts w:cs="Times New Roman"/>
        </w:rPr>
        <w:footnoteRef/>
      </w:r>
      <w:r>
        <w:rPr>
          <w:rFonts w:cs="Times New Roman"/>
        </w:rPr>
        <w:t xml:space="preserve"> 在2024年3月22日召开的防范化解地方债务风险工作视频会议中，中共中央政治局常委、国务院总理李强强调，</w:t>
      </w:r>
      <w:r>
        <w:rPr>
          <w:rFonts w:hint="eastAsia" w:cs="Times New Roman"/>
        </w:rPr>
        <w:t>“</w:t>
      </w:r>
      <w:r>
        <w:rPr>
          <w:rFonts w:cs="Times New Roman"/>
        </w:rPr>
        <w:t>要统筹抓好化债和发展，在高质量发展中推进债务风险化解</w:t>
      </w:r>
      <w:r>
        <w:rPr>
          <w:rFonts w:hint="eastAsia" w:cs="Times New Roman"/>
        </w:rPr>
        <w:t>”</w:t>
      </w:r>
      <w:r>
        <w:rPr>
          <w:rFonts w:cs="Times New Roman"/>
        </w:rPr>
        <w:t>。（来源：新华社）</w:t>
      </w:r>
    </w:p>
  </w:footnote>
  <w:footnote w:id="3">
    <w:p>
      <w:pPr>
        <w:pStyle w:val="15"/>
      </w:pPr>
      <w:r>
        <w:rPr>
          <w:rStyle w:val="22"/>
        </w:rPr>
        <w:footnoteRef/>
      </w:r>
      <w:r>
        <w:t xml:space="preserve"> </w:t>
      </w:r>
      <w:r>
        <w:rPr>
          <w:rFonts w:hint="eastAsia"/>
        </w:rPr>
        <w:t>广义来说，地方政府融资平台</w:t>
      </w:r>
      <w:r>
        <w:rPr>
          <w:rFonts w:hint="eastAsia" w:cs="Arial"/>
        </w:rPr>
        <w:t>除了名为城市投资建设公司的企业外，也包括其他具</w:t>
      </w:r>
      <w:r>
        <w:rPr>
          <w:rFonts w:cs="Arial"/>
        </w:rPr>
        <w:t>有为地方政府融资功能的地方国企</w:t>
      </w:r>
      <w:r>
        <w:rPr>
          <w:rFonts w:hint="eastAsia" w:cs="Arial"/>
        </w:rPr>
        <w:t>。</w:t>
      </w:r>
    </w:p>
  </w:footnote>
  <w:footnote w:id="4">
    <w:p>
      <w:pPr>
        <w:pStyle w:val="15"/>
      </w:pPr>
      <w:r>
        <w:rPr>
          <w:rStyle w:val="22"/>
        </w:rPr>
        <w:footnoteRef/>
      </w:r>
      <w:r>
        <w:t xml:space="preserve"> </w:t>
      </w:r>
      <w:r>
        <w:rPr>
          <w:rFonts w:hint="eastAsia"/>
        </w:rPr>
        <w:t>对投资和发展型的债务，中央不应承担兜底的责任。但对公共服务性质的负债，如果是与人口规模和实际需求相适应的，最终都是中央政府的责任，并且在长期需要用转移支付来替代地方的负债。</w:t>
      </w:r>
    </w:p>
  </w:footnote>
  <w:footnote w:id="5">
    <w:p>
      <w:pPr>
        <w:pStyle w:val="15"/>
      </w:pPr>
      <w:r>
        <w:rPr>
          <w:rStyle w:val="22"/>
        </w:rPr>
        <w:footnoteRef/>
      </w:r>
      <w:r>
        <w:t xml:space="preserve"> </w:t>
      </w:r>
      <w:r>
        <w:rPr>
          <w:rFonts w:hint="eastAsia"/>
        </w:rPr>
        <w:t>东部地区在本文中指代</w:t>
      </w:r>
      <w:bookmarkStart w:id="2" w:name="_Hlk167390573"/>
      <w:r>
        <w:rPr>
          <w:rFonts w:hint="eastAsia"/>
        </w:rPr>
        <w:t>北京市、上海市、天津市、河北省、江苏省、浙江省、福建省、山东省、广东省和海南省</w:t>
      </w:r>
      <w:bookmarkEnd w:id="2"/>
      <w:r>
        <w:rPr>
          <w:rFonts w:hint="eastAsia"/>
        </w:rPr>
        <w:t>，其余为中西部和东北地区。</w:t>
      </w:r>
    </w:p>
  </w:footnote>
  <w:footnote w:id="6">
    <w:p>
      <w:pPr>
        <w:pStyle w:val="15"/>
      </w:pPr>
      <w:r>
        <w:rPr>
          <w:rStyle w:val="22"/>
        </w:rPr>
        <w:footnoteRef/>
      </w:r>
      <w:r>
        <w:t xml:space="preserve"> </w:t>
      </w:r>
      <w:r>
        <w:rPr>
          <w:rFonts w:hint="eastAsia"/>
        </w:rPr>
        <w:t>更详细的有关2015年新《预算法》实施效果的实证研究，参见我们的工作论文：</w:t>
      </w:r>
      <w:r>
        <w:t>Cai, X., Lu, M., Xu, L., &amp; Zhong, H. Central-Local Relationship and Local Government Debt, 2024, Shanghai Jiao Tong University Working Paper.</w:t>
      </w:r>
    </w:p>
  </w:footnote>
  <w:footnote w:id="7">
    <w:p>
      <w:pPr>
        <w:pStyle w:val="15"/>
      </w:pPr>
      <w:r>
        <w:rPr>
          <w:rStyle w:val="22"/>
        </w:rPr>
        <w:footnoteRef/>
      </w:r>
      <w:r>
        <w:t xml:space="preserve"> </w:t>
      </w:r>
      <w:r>
        <w:rPr>
          <w:rFonts w:hint="eastAsia"/>
        </w:rPr>
        <w:t>关于统一货币区内部劳动力流动障碍对欠发达地区劳动力市场的影响，参见我们的工作论文：</w:t>
      </w:r>
      <w:r>
        <w:t>Cai, X., Li, J., Lu, M., &amp; Zhong, H. Regional Currency Overvaluation and Labor Market in a Single Currency Area: Evidence from China, 2024, Shanghai Jiao Tong University Working Paper.</w:t>
      </w:r>
    </w:p>
  </w:footnote>
  <w:footnote w:id="8">
    <w:p>
      <w:pPr>
        <w:pStyle w:val="15"/>
        <w:rPr>
          <w:rFonts w:hint="eastAsia" w:ascii="宋体" w:hAnsi="宋体"/>
        </w:rPr>
      </w:pPr>
      <w:r>
        <w:rPr>
          <w:rStyle w:val="22"/>
          <w:rFonts w:ascii="宋体" w:hAnsi="宋体"/>
        </w:rPr>
        <w:footnoteRef/>
      </w:r>
      <w:r>
        <w:t xml:space="preserve"> </w:t>
      </w:r>
      <w:r>
        <w:rPr>
          <w:rFonts w:hint="eastAsia"/>
        </w:rPr>
        <w:t>《习近平著作</w:t>
      </w:r>
      <w:r>
        <w:t>选读》第一卷，人民出版社2023年版，第620</w:t>
      </w:r>
      <w:r>
        <w:rPr>
          <w:rFonts w:hint="eastAsia"/>
        </w:rPr>
        <w:t>—</w:t>
      </w:r>
      <w:r>
        <w:t>62</w:t>
      </w:r>
      <w:r>
        <w:rPr>
          <w:rFonts w:hint="eastAsia"/>
        </w:rPr>
        <w:t>1</w:t>
      </w:r>
      <w:r>
        <w:t>页</w:t>
      </w:r>
      <w:r>
        <w:rPr>
          <w:rFonts w:hint="eastAsi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18"/>
    <w:footnote w:id="19"/>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xZTNkYTE4MzcwZjBiNTE3ZTU5YTYxZWM3NjgzODMifQ=="/>
  </w:docVars>
  <w:rsids>
    <w:rsidRoot w:val="0059042A"/>
    <w:rsid w:val="00000039"/>
    <w:rsid w:val="00000AEA"/>
    <w:rsid w:val="000041ED"/>
    <w:rsid w:val="00006B2D"/>
    <w:rsid w:val="00010585"/>
    <w:rsid w:val="00016B3A"/>
    <w:rsid w:val="00020EBA"/>
    <w:rsid w:val="00021969"/>
    <w:rsid w:val="00021F84"/>
    <w:rsid w:val="000250F6"/>
    <w:rsid w:val="0002791F"/>
    <w:rsid w:val="00027C4E"/>
    <w:rsid w:val="00027E68"/>
    <w:rsid w:val="000317E3"/>
    <w:rsid w:val="000331D5"/>
    <w:rsid w:val="00035AB8"/>
    <w:rsid w:val="00042609"/>
    <w:rsid w:val="00043559"/>
    <w:rsid w:val="00046C77"/>
    <w:rsid w:val="00046D61"/>
    <w:rsid w:val="000477F5"/>
    <w:rsid w:val="000501A0"/>
    <w:rsid w:val="00051FCC"/>
    <w:rsid w:val="00052C51"/>
    <w:rsid w:val="00053A4E"/>
    <w:rsid w:val="000555BF"/>
    <w:rsid w:val="000557CE"/>
    <w:rsid w:val="000559BC"/>
    <w:rsid w:val="000564AD"/>
    <w:rsid w:val="00056CB5"/>
    <w:rsid w:val="00061B2C"/>
    <w:rsid w:val="000625CB"/>
    <w:rsid w:val="00063709"/>
    <w:rsid w:val="00064D40"/>
    <w:rsid w:val="00065147"/>
    <w:rsid w:val="00071D80"/>
    <w:rsid w:val="00072AAF"/>
    <w:rsid w:val="0007346B"/>
    <w:rsid w:val="00076A0E"/>
    <w:rsid w:val="00080A5E"/>
    <w:rsid w:val="00081968"/>
    <w:rsid w:val="000827F1"/>
    <w:rsid w:val="00082C86"/>
    <w:rsid w:val="00083796"/>
    <w:rsid w:val="00091564"/>
    <w:rsid w:val="00095C05"/>
    <w:rsid w:val="00095EFC"/>
    <w:rsid w:val="0009706A"/>
    <w:rsid w:val="000A1177"/>
    <w:rsid w:val="000A4203"/>
    <w:rsid w:val="000A53E9"/>
    <w:rsid w:val="000A5651"/>
    <w:rsid w:val="000A66CD"/>
    <w:rsid w:val="000A691D"/>
    <w:rsid w:val="000B1105"/>
    <w:rsid w:val="000B7198"/>
    <w:rsid w:val="000C136C"/>
    <w:rsid w:val="000C2ADD"/>
    <w:rsid w:val="000C3B81"/>
    <w:rsid w:val="000C3ED5"/>
    <w:rsid w:val="000C55A9"/>
    <w:rsid w:val="000C6936"/>
    <w:rsid w:val="000C70BC"/>
    <w:rsid w:val="000C72CA"/>
    <w:rsid w:val="000D09BF"/>
    <w:rsid w:val="000D37F5"/>
    <w:rsid w:val="000D45FA"/>
    <w:rsid w:val="000D68C9"/>
    <w:rsid w:val="000E0CEB"/>
    <w:rsid w:val="000E3014"/>
    <w:rsid w:val="000E6117"/>
    <w:rsid w:val="000E79C8"/>
    <w:rsid w:val="000F1B07"/>
    <w:rsid w:val="000F4ED9"/>
    <w:rsid w:val="000F5693"/>
    <w:rsid w:val="000F5FF2"/>
    <w:rsid w:val="000F73D1"/>
    <w:rsid w:val="000F7AF8"/>
    <w:rsid w:val="001004ED"/>
    <w:rsid w:val="00103813"/>
    <w:rsid w:val="0010473D"/>
    <w:rsid w:val="00104B8B"/>
    <w:rsid w:val="00111557"/>
    <w:rsid w:val="00114073"/>
    <w:rsid w:val="00114B82"/>
    <w:rsid w:val="0011541F"/>
    <w:rsid w:val="00120580"/>
    <w:rsid w:val="00121475"/>
    <w:rsid w:val="00122F4C"/>
    <w:rsid w:val="00125126"/>
    <w:rsid w:val="00125947"/>
    <w:rsid w:val="00126FC5"/>
    <w:rsid w:val="001322A6"/>
    <w:rsid w:val="0013247F"/>
    <w:rsid w:val="001336CF"/>
    <w:rsid w:val="00133FF4"/>
    <w:rsid w:val="001364EF"/>
    <w:rsid w:val="00136EB2"/>
    <w:rsid w:val="001401E9"/>
    <w:rsid w:val="00141506"/>
    <w:rsid w:val="001435A4"/>
    <w:rsid w:val="00144F89"/>
    <w:rsid w:val="001458A9"/>
    <w:rsid w:val="00145EC3"/>
    <w:rsid w:val="00147EE9"/>
    <w:rsid w:val="001542E9"/>
    <w:rsid w:val="00157C76"/>
    <w:rsid w:val="001603E3"/>
    <w:rsid w:val="001636BA"/>
    <w:rsid w:val="00164ABF"/>
    <w:rsid w:val="001728FF"/>
    <w:rsid w:val="001746D5"/>
    <w:rsid w:val="001758D3"/>
    <w:rsid w:val="00176163"/>
    <w:rsid w:val="00185755"/>
    <w:rsid w:val="00191A48"/>
    <w:rsid w:val="0019271A"/>
    <w:rsid w:val="00192854"/>
    <w:rsid w:val="00197CA5"/>
    <w:rsid w:val="001A1ABE"/>
    <w:rsid w:val="001A321C"/>
    <w:rsid w:val="001A4358"/>
    <w:rsid w:val="001A5DAE"/>
    <w:rsid w:val="001A5E34"/>
    <w:rsid w:val="001B251A"/>
    <w:rsid w:val="001B586A"/>
    <w:rsid w:val="001C18CF"/>
    <w:rsid w:val="001C3F79"/>
    <w:rsid w:val="001C511C"/>
    <w:rsid w:val="001D07DD"/>
    <w:rsid w:val="001D0F11"/>
    <w:rsid w:val="001D34C7"/>
    <w:rsid w:val="001D34F1"/>
    <w:rsid w:val="001D42A9"/>
    <w:rsid w:val="001E0936"/>
    <w:rsid w:val="001E1243"/>
    <w:rsid w:val="001E467C"/>
    <w:rsid w:val="001E4F4C"/>
    <w:rsid w:val="001E54B4"/>
    <w:rsid w:val="001E7A15"/>
    <w:rsid w:val="001F0416"/>
    <w:rsid w:val="001F0752"/>
    <w:rsid w:val="001F1BF9"/>
    <w:rsid w:val="001F5346"/>
    <w:rsid w:val="001F53C8"/>
    <w:rsid w:val="001F5C31"/>
    <w:rsid w:val="00200ADA"/>
    <w:rsid w:val="00200F65"/>
    <w:rsid w:val="00201751"/>
    <w:rsid w:val="00202576"/>
    <w:rsid w:val="0020470D"/>
    <w:rsid w:val="002051A8"/>
    <w:rsid w:val="00212A6A"/>
    <w:rsid w:val="002130E3"/>
    <w:rsid w:val="002137CF"/>
    <w:rsid w:val="00214694"/>
    <w:rsid w:val="002165F3"/>
    <w:rsid w:val="002204F0"/>
    <w:rsid w:val="00224C8B"/>
    <w:rsid w:val="0022642B"/>
    <w:rsid w:val="00226D5A"/>
    <w:rsid w:val="00227C3E"/>
    <w:rsid w:val="00232727"/>
    <w:rsid w:val="00234213"/>
    <w:rsid w:val="00236CC6"/>
    <w:rsid w:val="00241721"/>
    <w:rsid w:val="002418D7"/>
    <w:rsid w:val="00244ADA"/>
    <w:rsid w:val="00246B52"/>
    <w:rsid w:val="00247BBA"/>
    <w:rsid w:val="002500F4"/>
    <w:rsid w:val="002546B8"/>
    <w:rsid w:val="00254734"/>
    <w:rsid w:val="00254D05"/>
    <w:rsid w:val="00256F1A"/>
    <w:rsid w:val="002571F3"/>
    <w:rsid w:val="00257DFA"/>
    <w:rsid w:val="00261B89"/>
    <w:rsid w:val="00263CBD"/>
    <w:rsid w:val="00265B18"/>
    <w:rsid w:val="002701EA"/>
    <w:rsid w:val="00270214"/>
    <w:rsid w:val="00285D5F"/>
    <w:rsid w:val="00291373"/>
    <w:rsid w:val="0029288D"/>
    <w:rsid w:val="00292D21"/>
    <w:rsid w:val="00293904"/>
    <w:rsid w:val="002A0BB9"/>
    <w:rsid w:val="002A0EAE"/>
    <w:rsid w:val="002A15C4"/>
    <w:rsid w:val="002A42D2"/>
    <w:rsid w:val="002A6BBC"/>
    <w:rsid w:val="002B025B"/>
    <w:rsid w:val="002B6D8F"/>
    <w:rsid w:val="002C002B"/>
    <w:rsid w:val="002C12DB"/>
    <w:rsid w:val="002C3DA7"/>
    <w:rsid w:val="002C582F"/>
    <w:rsid w:val="002D01A6"/>
    <w:rsid w:val="002D2701"/>
    <w:rsid w:val="002D4EA3"/>
    <w:rsid w:val="002D6620"/>
    <w:rsid w:val="002D663C"/>
    <w:rsid w:val="002E4CAC"/>
    <w:rsid w:val="002E53EC"/>
    <w:rsid w:val="002E55FC"/>
    <w:rsid w:val="002E5AD6"/>
    <w:rsid w:val="002E5EDB"/>
    <w:rsid w:val="002F3985"/>
    <w:rsid w:val="002F5F17"/>
    <w:rsid w:val="002F6C7F"/>
    <w:rsid w:val="003020E1"/>
    <w:rsid w:val="003035EE"/>
    <w:rsid w:val="00303F5E"/>
    <w:rsid w:val="00310F1B"/>
    <w:rsid w:val="0031202A"/>
    <w:rsid w:val="00312503"/>
    <w:rsid w:val="00313A04"/>
    <w:rsid w:val="003144A9"/>
    <w:rsid w:val="00314E4F"/>
    <w:rsid w:val="00316411"/>
    <w:rsid w:val="0031689D"/>
    <w:rsid w:val="00317218"/>
    <w:rsid w:val="0032653B"/>
    <w:rsid w:val="003308C8"/>
    <w:rsid w:val="00333E1A"/>
    <w:rsid w:val="003340C5"/>
    <w:rsid w:val="00335F35"/>
    <w:rsid w:val="00340F88"/>
    <w:rsid w:val="003455D2"/>
    <w:rsid w:val="00346B56"/>
    <w:rsid w:val="00347101"/>
    <w:rsid w:val="003473F8"/>
    <w:rsid w:val="00351D4D"/>
    <w:rsid w:val="0035220D"/>
    <w:rsid w:val="00352A89"/>
    <w:rsid w:val="00355FE4"/>
    <w:rsid w:val="00361108"/>
    <w:rsid w:val="00362FCA"/>
    <w:rsid w:val="00365E11"/>
    <w:rsid w:val="00372582"/>
    <w:rsid w:val="00376638"/>
    <w:rsid w:val="003778F9"/>
    <w:rsid w:val="0038473C"/>
    <w:rsid w:val="00386369"/>
    <w:rsid w:val="00387972"/>
    <w:rsid w:val="00391015"/>
    <w:rsid w:val="0039110F"/>
    <w:rsid w:val="00393F7B"/>
    <w:rsid w:val="00396030"/>
    <w:rsid w:val="003A0583"/>
    <w:rsid w:val="003A0908"/>
    <w:rsid w:val="003A13FA"/>
    <w:rsid w:val="003A3C74"/>
    <w:rsid w:val="003A592B"/>
    <w:rsid w:val="003A6D9F"/>
    <w:rsid w:val="003B1A7F"/>
    <w:rsid w:val="003B4AB8"/>
    <w:rsid w:val="003B50C1"/>
    <w:rsid w:val="003B6C01"/>
    <w:rsid w:val="003C2A0F"/>
    <w:rsid w:val="003C4792"/>
    <w:rsid w:val="003C4A74"/>
    <w:rsid w:val="003C67BE"/>
    <w:rsid w:val="003C6C3A"/>
    <w:rsid w:val="003C7F20"/>
    <w:rsid w:val="003D296F"/>
    <w:rsid w:val="003D615D"/>
    <w:rsid w:val="003D707F"/>
    <w:rsid w:val="003D7A40"/>
    <w:rsid w:val="003E2B0D"/>
    <w:rsid w:val="003E576D"/>
    <w:rsid w:val="003E73AD"/>
    <w:rsid w:val="003F3D07"/>
    <w:rsid w:val="003F3FAD"/>
    <w:rsid w:val="003F5CE5"/>
    <w:rsid w:val="003F7C25"/>
    <w:rsid w:val="00401611"/>
    <w:rsid w:val="00401D33"/>
    <w:rsid w:val="00402741"/>
    <w:rsid w:val="00403400"/>
    <w:rsid w:val="00405123"/>
    <w:rsid w:val="00406CAD"/>
    <w:rsid w:val="004106CF"/>
    <w:rsid w:val="004144AE"/>
    <w:rsid w:val="004205FA"/>
    <w:rsid w:val="00420E2B"/>
    <w:rsid w:val="0042267F"/>
    <w:rsid w:val="00424EFE"/>
    <w:rsid w:val="00425FE9"/>
    <w:rsid w:val="00427C03"/>
    <w:rsid w:val="00430EA6"/>
    <w:rsid w:val="00431DD7"/>
    <w:rsid w:val="0043226B"/>
    <w:rsid w:val="004353DF"/>
    <w:rsid w:val="004370F9"/>
    <w:rsid w:val="0044041F"/>
    <w:rsid w:val="00440670"/>
    <w:rsid w:val="00440D6B"/>
    <w:rsid w:val="00440D87"/>
    <w:rsid w:val="00441504"/>
    <w:rsid w:val="00442C10"/>
    <w:rsid w:val="00443997"/>
    <w:rsid w:val="0044552B"/>
    <w:rsid w:val="00447328"/>
    <w:rsid w:val="0045172F"/>
    <w:rsid w:val="00453608"/>
    <w:rsid w:val="00455713"/>
    <w:rsid w:val="00455A69"/>
    <w:rsid w:val="0046109A"/>
    <w:rsid w:val="00461BF7"/>
    <w:rsid w:val="004631A5"/>
    <w:rsid w:val="0046633D"/>
    <w:rsid w:val="0046717E"/>
    <w:rsid w:val="00467618"/>
    <w:rsid w:val="00472817"/>
    <w:rsid w:val="0048190E"/>
    <w:rsid w:val="004824FF"/>
    <w:rsid w:val="00486FB5"/>
    <w:rsid w:val="004932E2"/>
    <w:rsid w:val="0049391A"/>
    <w:rsid w:val="00496378"/>
    <w:rsid w:val="004A2471"/>
    <w:rsid w:val="004A2EAE"/>
    <w:rsid w:val="004A78DC"/>
    <w:rsid w:val="004B03B7"/>
    <w:rsid w:val="004B1F3D"/>
    <w:rsid w:val="004B2056"/>
    <w:rsid w:val="004B2E86"/>
    <w:rsid w:val="004B39F9"/>
    <w:rsid w:val="004C03CF"/>
    <w:rsid w:val="004C197D"/>
    <w:rsid w:val="004C1D93"/>
    <w:rsid w:val="004D2D59"/>
    <w:rsid w:val="004D4EDF"/>
    <w:rsid w:val="004D52E3"/>
    <w:rsid w:val="004D53F9"/>
    <w:rsid w:val="004D79FE"/>
    <w:rsid w:val="004E3EA9"/>
    <w:rsid w:val="004E440F"/>
    <w:rsid w:val="004E480B"/>
    <w:rsid w:val="004E4BD3"/>
    <w:rsid w:val="004E7319"/>
    <w:rsid w:val="004E7C52"/>
    <w:rsid w:val="004F2023"/>
    <w:rsid w:val="004F28D2"/>
    <w:rsid w:val="004F31AB"/>
    <w:rsid w:val="004F35E8"/>
    <w:rsid w:val="004F3978"/>
    <w:rsid w:val="004F3BF4"/>
    <w:rsid w:val="004F4B2F"/>
    <w:rsid w:val="004F5C68"/>
    <w:rsid w:val="004F741B"/>
    <w:rsid w:val="004F75A6"/>
    <w:rsid w:val="005013B5"/>
    <w:rsid w:val="005024D0"/>
    <w:rsid w:val="00503A32"/>
    <w:rsid w:val="00507DB0"/>
    <w:rsid w:val="00510B8A"/>
    <w:rsid w:val="00510D77"/>
    <w:rsid w:val="0051359E"/>
    <w:rsid w:val="00514E4B"/>
    <w:rsid w:val="00515A52"/>
    <w:rsid w:val="00520CF1"/>
    <w:rsid w:val="00521112"/>
    <w:rsid w:val="00521AD5"/>
    <w:rsid w:val="0052260A"/>
    <w:rsid w:val="00524CDC"/>
    <w:rsid w:val="00525FF2"/>
    <w:rsid w:val="005312E1"/>
    <w:rsid w:val="005313B2"/>
    <w:rsid w:val="0053397F"/>
    <w:rsid w:val="00534008"/>
    <w:rsid w:val="0053416D"/>
    <w:rsid w:val="005342EA"/>
    <w:rsid w:val="005363C5"/>
    <w:rsid w:val="00536F4B"/>
    <w:rsid w:val="00537A90"/>
    <w:rsid w:val="005462DA"/>
    <w:rsid w:val="00550BD1"/>
    <w:rsid w:val="00551908"/>
    <w:rsid w:val="005541BA"/>
    <w:rsid w:val="0055596E"/>
    <w:rsid w:val="00555B60"/>
    <w:rsid w:val="005565D1"/>
    <w:rsid w:val="005607B5"/>
    <w:rsid w:val="00561F7F"/>
    <w:rsid w:val="0057245C"/>
    <w:rsid w:val="005736E0"/>
    <w:rsid w:val="00577854"/>
    <w:rsid w:val="00580FB9"/>
    <w:rsid w:val="00585F72"/>
    <w:rsid w:val="0059042A"/>
    <w:rsid w:val="00592F29"/>
    <w:rsid w:val="00593276"/>
    <w:rsid w:val="00595EBE"/>
    <w:rsid w:val="00595F3F"/>
    <w:rsid w:val="0059664F"/>
    <w:rsid w:val="005A0D8D"/>
    <w:rsid w:val="005A2ADC"/>
    <w:rsid w:val="005A2D0A"/>
    <w:rsid w:val="005A2E98"/>
    <w:rsid w:val="005A7528"/>
    <w:rsid w:val="005B06E4"/>
    <w:rsid w:val="005B0726"/>
    <w:rsid w:val="005B3BC2"/>
    <w:rsid w:val="005B459B"/>
    <w:rsid w:val="005B5EF1"/>
    <w:rsid w:val="005B65DB"/>
    <w:rsid w:val="005B7BC6"/>
    <w:rsid w:val="005C0986"/>
    <w:rsid w:val="005C0BA4"/>
    <w:rsid w:val="005D068E"/>
    <w:rsid w:val="005D13C6"/>
    <w:rsid w:val="005D38E0"/>
    <w:rsid w:val="005D4FE0"/>
    <w:rsid w:val="005D7492"/>
    <w:rsid w:val="005D7A13"/>
    <w:rsid w:val="005E08EC"/>
    <w:rsid w:val="005E2EBE"/>
    <w:rsid w:val="005E596F"/>
    <w:rsid w:val="005E5C17"/>
    <w:rsid w:val="005E636A"/>
    <w:rsid w:val="005E681B"/>
    <w:rsid w:val="005F2B01"/>
    <w:rsid w:val="005F51D5"/>
    <w:rsid w:val="005F532A"/>
    <w:rsid w:val="005F6B13"/>
    <w:rsid w:val="005F77C4"/>
    <w:rsid w:val="005F78B3"/>
    <w:rsid w:val="00600498"/>
    <w:rsid w:val="00601BEA"/>
    <w:rsid w:val="006021ED"/>
    <w:rsid w:val="0060421F"/>
    <w:rsid w:val="00604C0A"/>
    <w:rsid w:val="006130F7"/>
    <w:rsid w:val="00614698"/>
    <w:rsid w:val="00615260"/>
    <w:rsid w:val="00615627"/>
    <w:rsid w:val="0061595B"/>
    <w:rsid w:val="00617114"/>
    <w:rsid w:val="00620EAA"/>
    <w:rsid w:val="00624F3F"/>
    <w:rsid w:val="006304E6"/>
    <w:rsid w:val="006308B1"/>
    <w:rsid w:val="00632E55"/>
    <w:rsid w:val="00632F18"/>
    <w:rsid w:val="00632FE8"/>
    <w:rsid w:val="006446A0"/>
    <w:rsid w:val="00646D49"/>
    <w:rsid w:val="00647B8A"/>
    <w:rsid w:val="006506FD"/>
    <w:rsid w:val="006560D8"/>
    <w:rsid w:val="006609A1"/>
    <w:rsid w:val="00661CB0"/>
    <w:rsid w:val="00663D5E"/>
    <w:rsid w:val="00664875"/>
    <w:rsid w:val="006664DC"/>
    <w:rsid w:val="00671610"/>
    <w:rsid w:val="0067453A"/>
    <w:rsid w:val="006805B7"/>
    <w:rsid w:val="00684006"/>
    <w:rsid w:val="006845C5"/>
    <w:rsid w:val="006852E3"/>
    <w:rsid w:val="006865B9"/>
    <w:rsid w:val="006871A4"/>
    <w:rsid w:val="00687A53"/>
    <w:rsid w:val="006909A9"/>
    <w:rsid w:val="00691571"/>
    <w:rsid w:val="006942D1"/>
    <w:rsid w:val="00694E82"/>
    <w:rsid w:val="00695F40"/>
    <w:rsid w:val="00696818"/>
    <w:rsid w:val="006A3920"/>
    <w:rsid w:val="006A51FC"/>
    <w:rsid w:val="006A5314"/>
    <w:rsid w:val="006A5501"/>
    <w:rsid w:val="006A663D"/>
    <w:rsid w:val="006A6BE4"/>
    <w:rsid w:val="006A6E05"/>
    <w:rsid w:val="006A7761"/>
    <w:rsid w:val="006A79DF"/>
    <w:rsid w:val="006A7E56"/>
    <w:rsid w:val="006A7F30"/>
    <w:rsid w:val="006B0C34"/>
    <w:rsid w:val="006B3F73"/>
    <w:rsid w:val="006B547F"/>
    <w:rsid w:val="006B7348"/>
    <w:rsid w:val="006B7B08"/>
    <w:rsid w:val="006C2FCA"/>
    <w:rsid w:val="006C346A"/>
    <w:rsid w:val="006C3807"/>
    <w:rsid w:val="006C5913"/>
    <w:rsid w:val="006C628A"/>
    <w:rsid w:val="006D48AF"/>
    <w:rsid w:val="006D5C72"/>
    <w:rsid w:val="006D68AA"/>
    <w:rsid w:val="006E01FE"/>
    <w:rsid w:val="006E042B"/>
    <w:rsid w:val="006E1799"/>
    <w:rsid w:val="006E2F7D"/>
    <w:rsid w:val="006E312B"/>
    <w:rsid w:val="006E4150"/>
    <w:rsid w:val="006E433B"/>
    <w:rsid w:val="006F52CB"/>
    <w:rsid w:val="006F5A00"/>
    <w:rsid w:val="00700F07"/>
    <w:rsid w:val="00700F22"/>
    <w:rsid w:val="00701618"/>
    <w:rsid w:val="0070348F"/>
    <w:rsid w:val="00704CB7"/>
    <w:rsid w:val="007122BB"/>
    <w:rsid w:val="007123C0"/>
    <w:rsid w:val="007140BA"/>
    <w:rsid w:val="00714DD1"/>
    <w:rsid w:val="00716976"/>
    <w:rsid w:val="00720283"/>
    <w:rsid w:val="0072113C"/>
    <w:rsid w:val="00721EFB"/>
    <w:rsid w:val="0072413A"/>
    <w:rsid w:val="00730AF5"/>
    <w:rsid w:val="00735642"/>
    <w:rsid w:val="00740908"/>
    <w:rsid w:val="00740E60"/>
    <w:rsid w:val="00746DB5"/>
    <w:rsid w:val="0075010E"/>
    <w:rsid w:val="00751A70"/>
    <w:rsid w:val="00752E6D"/>
    <w:rsid w:val="00754205"/>
    <w:rsid w:val="00760A55"/>
    <w:rsid w:val="00760D80"/>
    <w:rsid w:val="00761490"/>
    <w:rsid w:val="00762441"/>
    <w:rsid w:val="0076333C"/>
    <w:rsid w:val="007644D7"/>
    <w:rsid w:val="007655B2"/>
    <w:rsid w:val="00767189"/>
    <w:rsid w:val="00770D9C"/>
    <w:rsid w:val="0077124A"/>
    <w:rsid w:val="007725A1"/>
    <w:rsid w:val="00772FAC"/>
    <w:rsid w:val="00773704"/>
    <w:rsid w:val="00775E6D"/>
    <w:rsid w:val="007771E7"/>
    <w:rsid w:val="007772A7"/>
    <w:rsid w:val="00777817"/>
    <w:rsid w:val="00777EC7"/>
    <w:rsid w:val="00783988"/>
    <w:rsid w:val="00784B1A"/>
    <w:rsid w:val="00787E54"/>
    <w:rsid w:val="00791C82"/>
    <w:rsid w:val="00792AA5"/>
    <w:rsid w:val="0079388E"/>
    <w:rsid w:val="0079662A"/>
    <w:rsid w:val="007979EE"/>
    <w:rsid w:val="007A5801"/>
    <w:rsid w:val="007A625D"/>
    <w:rsid w:val="007B2378"/>
    <w:rsid w:val="007B3989"/>
    <w:rsid w:val="007B4B68"/>
    <w:rsid w:val="007B5F87"/>
    <w:rsid w:val="007B7118"/>
    <w:rsid w:val="007B7524"/>
    <w:rsid w:val="007C0A66"/>
    <w:rsid w:val="007C0CA1"/>
    <w:rsid w:val="007C1F92"/>
    <w:rsid w:val="007C2F89"/>
    <w:rsid w:val="007D09FF"/>
    <w:rsid w:val="007D0E49"/>
    <w:rsid w:val="007D2661"/>
    <w:rsid w:val="007D5566"/>
    <w:rsid w:val="007E25CF"/>
    <w:rsid w:val="007E28C1"/>
    <w:rsid w:val="007E75DC"/>
    <w:rsid w:val="007F03B4"/>
    <w:rsid w:val="007F06AB"/>
    <w:rsid w:val="007F0F10"/>
    <w:rsid w:val="007F2F45"/>
    <w:rsid w:val="007F312A"/>
    <w:rsid w:val="007F435F"/>
    <w:rsid w:val="007F70A1"/>
    <w:rsid w:val="007F7C6F"/>
    <w:rsid w:val="0080379D"/>
    <w:rsid w:val="008048DB"/>
    <w:rsid w:val="00805DCC"/>
    <w:rsid w:val="008108E9"/>
    <w:rsid w:val="00811C13"/>
    <w:rsid w:val="00812E78"/>
    <w:rsid w:val="00816F93"/>
    <w:rsid w:val="0081776C"/>
    <w:rsid w:val="00817DA4"/>
    <w:rsid w:val="00820345"/>
    <w:rsid w:val="0082483A"/>
    <w:rsid w:val="00825DE5"/>
    <w:rsid w:val="00826391"/>
    <w:rsid w:val="008271BD"/>
    <w:rsid w:val="008301C8"/>
    <w:rsid w:val="00832609"/>
    <w:rsid w:val="00833A84"/>
    <w:rsid w:val="00840664"/>
    <w:rsid w:val="00844B2B"/>
    <w:rsid w:val="00851E58"/>
    <w:rsid w:val="008530A0"/>
    <w:rsid w:val="00853238"/>
    <w:rsid w:val="00853AD9"/>
    <w:rsid w:val="0085429F"/>
    <w:rsid w:val="00855153"/>
    <w:rsid w:val="00856277"/>
    <w:rsid w:val="008605D0"/>
    <w:rsid w:val="00860814"/>
    <w:rsid w:val="008645A1"/>
    <w:rsid w:val="008651BC"/>
    <w:rsid w:val="00867C6E"/>
    <w:rsid w:val="00867E03"/>
    <w:rsid w:val="008734D2"/>
    <w:rsid w:val="00875328"/>
    <w:rsid w:val="00875F1E"/>
    <w:rsid w:val="008774D2"/>
    <w:rsid w:val="008819FC"/>
    <w:rsid w:val="008829CF"/>
    <w:rsid w:val="00882AD1"/>
    <w:rsid w:val="0088348E"/>
    <w:rsid w:val="008852D8"/>
    <w:rsid w:val="008901BF"/>
    <w:rsid w:val="008908AB"/>
    <w:rsid w:val="008927B9"/>
    <w:rsid w:val="008957CB"/>
    <w:rsid w:val="008A06BA"/>
    <w:rsid w:val="008B119A"/>
    <w:rsid w:val="008B19CB"/>
    <w:rsid w:val="008B23BD"/>
    <w:rsid w:val="008B418C"/>
    <w:rsid w:val="008B6018"/>
    <w:rsid w:val="008B6A86"/>
    <w:rsid w:val="008B6AE2"/>
    <w:rsid w:val="008C52D8"/>
    <w:rsid w:val="008C5B58"/>
    <w:rsid w:val="008C79C9"/>
    <w:rsid w:val="008D19F3"/>
    <w:rsid w:val="008D2E12"/>
    <w:rsid w:val="008D4E9E"/>
    <w:rsid w:val="008D7463"/>
    <w:rsid w:val="008E56B1"/>
    <w:rsid w:val="008E6854"/>
    <w:rsid w:val="008F344B"/>
    <w:rsid w:val="00904F24"/>
    <w:rsid w:val="00906455"/>
    <w:rsid w:val="00907BD6"/>
    <w:rsid w:val="00911F16"/>
    <w:rsid w:val="00913FF3"/>
    <w:rsid w:val="0091578F"/>
    <w:rsid w:val="00915CF2"/>
    <w:rsid w:val="0091743C"/>
    <w:rsid w:val="00920B9C"/>
    <w:rsid w:val="00921C7B"/>
    <w:rsid w:val="009221E4"/>
    <w:rsid w:val="00923857"/>
    <w:rsid w:val="00924491"/>
    <w:rsid w:val="00924AD1"/>
    <w:rsid w:val="00924C88"/>
    <w:rsid w:val="00926553"/>
    <w:rsid w:val="00931226"/>
    <w:rsid w:val="0093155A"/>
    <w:rsid w:val="009325BC"/>
    <w:rsid w:val="00933EE3"/>
    <w:rsid w:val="0093517E"/>
    <w:rsid w:val="0093668F"/>
    <w:rsid w:val="009368DF"/>
    <w:rsid w:val="00937F3B"/>
    <w:rsid w:val="00942CB0"/>
    <w:rsid w:val="009430C7"/>
    <w:rsid w:val="00945E7D"/>
    <w:rsid w:val="00945ECE"/>
    <w:rsid w:val="00947788"/>
    <w:rsid w:val="009506EA"/>
    <w:rsid w:val="0095070D"/>
    <w:rsid w:val="00950E8A"/>
    <w:rsid w:val="0095127D"/>
    <w:rsid w:val="00953E72"/>
    <w:rsid w:val="009546DA"/>
    <w:rsid w:val="00960805"/>
    <w:rsid w:val="00960DD0"/>
    <w:rsid w:val="009621DB"/>
    <w:rsid w:val="009644EA"/>
    <w:rsid w:val="0096478D"/>
    <w:rsid w:val="00964E8E"/>
    <w:rsid w:val="0097305C"/>
    <w:rsid w:val="00973ACF"/>
    <w:rsid w:val="009756D3"/>
    <w:rsid w:val="00980B84"/>
    <w:rsid w:val="00980C73"/>
    <w:rsid w:val="009812D7"/>
    <w:rsid w:val="00981FDB"/>
    <w:rsid w:val="00982E4A"/>
    <w:rsid w:val="009842B3"/>
    <w:rsid w:val="0098469C"/>
    <w:rsid w:val="00984BF7"/>
    <w:rsid w:val="009919E9"/>
    <w:rsid w:val="00991F86"/>
    <w:rsid w:val="00992F26"/>
    <w:rsid w:val="009937A0"/>
    <w:rsid w:val="009937BC"/>
    <w:rsid w:val="009A1474"/>
    <w:rsid w:val="009A1B53"/>
    <w:rsid w:val="009A2C91"/>
    <w:rsid w:val="009A4A28"/>
    <w:rsid w:val="009A7E88"/>
    <w:rsid w:val="009B11D1"/>
    <w:rsid w:val="009B2FDC"/>
    <w:rsid w:val="009B382E"/>
    <w:rsid w:val="009B6B40"/>
    <w:rsid w:val="009B7862"/>
    <w:rsid w:val="009C0CD5"/>
    <w:rsid w:val="009C225B"/>
    <w:rsid w:val="009C36E4"/>
    <w:rsid w:val="009C41F7"/>
    <w:rsid w:val="009D0C4F"/>
    <w:rsid w:val="009D0DF6"/>
    <w:rsid w:val="009D1DBE"/>
    <w:rsid w:val="009D1DCF"/>
    <w:rsid w:val="009D316B"/>
    <w:rsid w:val="009D5F5B"/>
    <w:rsid w:val="009D6957"/>
    <w:rsid w:val="009D78F3"/>
    <w:rsid w:val="009E0CB6"/>
    <w:rsid w:val="009E1366"/>
    <w:rsid w:val="009E1F1D"/>
    <w:rsid w:val="009E5791"/>
    <w:rsid w:val="009E7B40"/>
    <w:rsid w:val="009F5386"/>
    <w:rsid w:val="009F7890"/>
    <w:rsid w:val="009F78B0"/>
    <w:rsid w:val="009F7B6C"/>
    <w:rsid w:val="00A00D24"/>
    <w:rsid w:val="00A04693"/>
    <w:rsid w:val="00A050DF"/>
    <w:rsid w:val="00A112C4"/>
    <w:rsid w:val="00A128A4"/>
    <w:rsid w:val="00A153FD"/>
    <w:rsid w:val="00A17CE6"/>
    <w:rsid w:val="00A17E3B"/>
    <w:rsid w:val="00A209A5"/>
    <w:rsid w:val="00A20CB7"/>
    <w:rsid w:val="00A226FB"/>
    <w:rsid w:val="00A24B21"/>
    <w:rsid w:val="00A25067"/>
    <w:rsid w:val="00A26150"/>
    <w:rsid w:val="00A26995"/>
    <w:rsid w:val="00A3534F"/>
    <w:rsid w:val="00A36C1C"/>
    <w:rsid w:val="00A42ADE"/>
    <w:rsid w:val="00A43EA0"/>
    <w:rsid w:val="00A44143"/>
    <w:rsid w:val="00A4589A"/>
    <w:rsid w:val="00A45F21"/>
    <w:rsid w:val="00A51554"/>
    <w:rsid w:val="00A521DE"/>
    <w:rsid w:val="00A52555"/>
    <w:rsid w:val="00A61298"/>
    <w:rsid w:val="00A62C79"/>
    <w:rsid w:val="00A64AD3"/>
    <w:rsid w:val="00A66C20"/>
    <w:rsid w:val="00A67186"/>
    <w:rsid w:val="00A742D0"/>
    <w:rsid w:val="00A75CCD"/>
    <w:rsid w:val="00A767C8"/>
    <w:rsid w:val="00A824A4"/>
    <w:rsid w:val="00A82596"/>
    <w:rsid w:val="00A826E6"/>
    <w:rsid w:val="00A844F4"/>
    <w:rsid w:val="00A87D8C"/>
    <w:rsid w:val="00A932E0"/>
    <w:rsid w:val="00A96E86"/>
    <w:rsid w:val="00AA06CD"/>
    <w:rsid w:val="00AA0863"/>
    <w:rsid w:val="00AA0E2B"/>
    <w:rsid w:val="00AA7026"/>
    <w:rsid w:val="00AA74EB"/>
    <w:rsid w:val="00AB1777"/>
    <w:rsid w:val="00AB1DA0"/>
    <w:rsid w:val="00AB2F8C"/>
    <w:rsid w:val="00AB3A08"/>
    <w:rsid w:val="00AB4746"/>
    <w:rsid w:val="00AC2766"/>
    <w:rsid w:val="00AC4C0C"/>
    <w:rsid w:val="00AC4EF0"/>
    <w:rsid w:val="00AD0CAA"/>
    <w:rsid w:val="00AD2372"/>
    <w:rsid w:val="00AE1CAE"/>
    <w:rsid w:val="00AE419D"/>
    <w:rsid w:val="00AE522C"/>
    <w:rsid w:val="00AE669B"/>
    <w:rsid w:val="00AE6BAB"/>
    <w:rsid w:val="00AE736F"/>
    <w:rsid w:val="00AE73DB"/>
    <w:rsid w:val="00AF1EB4"/>
    <w:rsid w:val="00AF22A6"/>
    <w:rsid w:val="00AF342E"/>
    <w:rsid w:val="00AF3A52"/>
    <w:rsid w:val="00AF6FC4"/>
    <w:rsid w:val="00B01AAC"/>
    <w:rsid w:val="00B05A79"/>
    <w:rsid w:val="00B075BB"/>
    <w:rsid w:val="00B12088"/>
    <w:rsid w:val="00B16DE1"/>
    <w:rsid w:val="00B20199"/>
    <w:rsid w:val="00B215A0"/>
    <w:rsid w:val="00B22F12"/>
    <w:rsid w:val="00B24C0F"/>
    <w:rsid w:val="00B24D41"/>
    <w:rsid w:val="00B25A43"/>
    <w:rsid w:val="00B27105"/>
    <w:rsid w:val="00B30F5C"/>
    <w:rsid w:val="00B34060"/>
    <w:rsid w:val="00B35E34"/>
    <w:rsid w:val="00B369F7"/>
    <w:rsid w:val="00B37EC2"/>
    <w:rsid w:val="00B43A31"/>
    <w:rsid w:val="00B476D4"/>
    <w:rsid w:val="00B55344"/>
    <w:rsid w:val="00B573C4"/>
    <w:rsid w:val="00B645AB"/>
    <w:rsid w:val="00B672DF"/>
    <w:rsid w:val="00B67F7D"/>
    <w:rsid w:val="00B72676"/>
    <w:rsid w:val="00B76B01"/>
    <w:rsid w:val="00B826DC"/>
    <w:rsid w:val="00B87A37"/>
    <w:rsid w:val="00B94674"/>
    <w:rsid w:val="00B95127"/>
    <w:rsid w:val="00B966CB"/>
    <w:rsid w:val="00BA01DA"/>
    <w:rsid w:val="00BA0464"/>
    <w:rsid w:val="00BA0FFA"/>
    <w:rsid w:val="00BA3AB9"/>
    <w:rsid w:val="00BB206E"/>
    <w:rsid w:val="00BB3647"/>
    <w:rsid w:val="00BB4BB0"/>
    <w:rsid w:val="00BB5229"/>
    <w:rsid w:val="00BB6F41"/>
    <w:rsid w:val="00BC3701"/>
    <w:rsid w:val="00BC40D3"/>
    <w:rsid w:val="00BC4EDF"/>
    <w:rsid w:val="00BC66ED"/>
    <w:rsid w:val="00BC7C73"/>
    <w:rsid w:val="00BD0344"/>
    <w:rsid w:val="00BD22D4"/>
    <w:rsid w:val="00BD4E6F"/>
    <w:rsid w:val="00BD4F33"/>
    <w:rsid w:val="00BD6633"/>
    <w:rsid w:val="00BD7809"/>
    <w:rsid w:val="00BE06A4"/>
    <w:rsid w:val="00BE1E62"/>
    <w:rsid w:val="00BE27AB"/>
    <w:rsid w:val="00BE3B76"/>
    <w:rsid w:val="00BF67E7"/>
    <w:rsid w:val="00C003C0"/>
    <w:rsid w:val="00C02520"/>
    <w:rsid w:val="00C10EE3"/>
    <w:rsid w:val="00C12F3A"/>
    <w:rsid w:val="00C152FF"/>
    <w:rsid w:val="00C15A6B"/>
    <w:rsid w:val="00C22A7F"/>
    <w:rsid w:val="00C23523"/>
    <w:rsid w:val="00C25516"/>
    <w:rsid w:val="00C26598"/>
    <w:rsid w:val="00C27A24"/>
    <w:rsid w:val="00C31381"/>
    <w:rsid w:val="00C34F7B"/>
    <w:rsid w:val="00C35BEE"/>
    <w:rsid w:val="00C35F60"/>
    <w:rsid w:val="00C36716"/>
    <w:rsid w:val="00C40267"/>
    <w:rsid w:val="00C40B94"/>
    <w:rsid w:val="00C40F8D"/>
    <w:rsid w:val="00C43190"/>
    <w:rsid w:val="00C47AAC"/>
    <w:rsid w:val="00C52C00"/>
    <w:rsid w:val="00C53B50"/>
    <w:rsid w:val="00C55CAD"/>
    <w:rsid w:val="00C608B0"/>
    <w:rsid w:val="00C6093B"/>
    <w:rsid w:val="00C67F90"/>
    <w:rsid w:val="00C71756"/>
    <w:rsid w:val="00C74D3E"/>
    <w:rsid w:val="00C769F0"/>
    <w:rsid w:val="00C80F69"/>
    <w:rsid w:val="00C814F1"/>
    <w:rsid w:val="00C87C74"/>
    <w:rsid w:val="00C90506"/>
    <w:rsid w:val="00C92788"/>
    <w:rsid w:val="00C941E8"/>
    <w:rsid w:val="00C95A08"/>
    <w:rsid w:val="00C95C54"/>
    <w:rsid w:val="00C965B1"/>
    <w:rsid w:val="00C97C93"/>
    <w:rsid w:val="00CA1564"/>
    <w:rsid w:val="00CA26E4"/>
    <w:rsid w:val="00CA27A4"/>
    <w:rsid w:val="00CA4997"/>
    <w:rsid w:val="00CA55C8"/>
    <w:rsid w:val="00CA671C"/>
    <w:rsid w:val="00CB0052"/>
    <w:rsid w:val="00CB28FA"/>
    <w:rsid w:val="00CB3553"/>
    <w:rsid w:val="00CB3BBD"/>
    <w:rsid w:val="00CB4333"/>
    <w:rsid w:val="00CC0DFB"/>
    <w:rsid w:val="00CC2A21"/>
    <w:rsid w:val="00CC3017"/>
    <w:rsid w:val="00CC3377"/>
    <w:rsid w:val="00CC36A1"/>
    <w:rsid w:val="00CC6D4F"/>
    <w:rsid w:val="00CC72D4"/>
    <w:rsid w:val="00CD1160"/>
    <w:rsid w:val="00CD125F"/>
    <w:rsid w:val="00CD1975"/>
    <w:rsid w:val="00CD1FA3"/>
    <w:rsid w:val="00CD268C"/>
    <w:rsid w:val="00CD6A83"/>
    <w:rsid w:val="00CE237A"/>
    <w:rsid w:val="00CE44EA"/>
    <w:rsid w:val="00CE597C"/>
    <w:rsid w:val="00CE6D83"/>
    <w:rsid w:val="00CF13F7"/>
    <w:rsid w:val="00CF1CAB"/>
    <w:rsid w:val="00CF2B00"/>
    <w:rsid w:val="00CF2E74"/>
    <w:rsid w:val="00CF373C"/>
    <w:rsid w:val="00CF3D08"/>
    <w:rsid w:val="00CF4F4F"/>
    <w:rsid w:val="00CF5779"/>
    <w:rsid w:val="00CF5E55"/>
    <w:rsid w:val="00CF73CB"/>
    <w:rsid w:val="00D009C3"/>
    <w:rsid w:val="00D012A8"/>
    <w:rsid w:val="00D05830"/>
    <w:rsid w:val="00D07455"/>
    <w:rsid w:val="00D10895"/>
    <w:rsid w:val="00D11799"/>
    <w:rsid w:val="00D11946"/>
    <w:rsid w:val="00D14E04"/>
    <w:rsid w:val="00D2168D"/>
    <w:rsid w:val="00D22EC5"/>
    <w:rsid w:val="00D238D7"/>
    <w:rsid w:val="00D239F0"/>
    <w:rsid w:val="00D3077A"/>
    <w:rsid w:val="00D30EC9"/>
    <w:rsid w:val="00D32F44"/>
    <w:rsid w:val="00D332D8"/>
    <w:rsid w:val="00D347DC"/>
    <w:rsid w:val="00D35B22"/>
    <w:rsid w:val="00D36436"/>
    <w:rsid w:val="00D42695"/>
    <w:rsid w:val="00D42A2A"/>
    <w:rsid w:val="00D46726"/>
    <w:rsid w:val="00D50E06"/>
    <w:rsid w:val="00D51835"/>
    <w:rsid w:val="00D52542"/>
    <w:rsid w:val="00D5358E"/>
    <w:rsid w:val="00D538AB"/>
    <w:rsid w:val="00D567E2"/>
    <w:rsid w:val="00D6295A"/>
    <w:rsid w:val="00D65D9B"/>
    <w:rsid w:val="00D67B76"/>
    <w:rsid w:val="00D67E40"/>
    <w:rsid w:val="00D70211"/>
    <w:rsid w:val="00D705B6"/>
    <w:rsid w:val="00D71197"/>
    <w:rsid w:val="00D73178"/>
    <w:rsid w:val="00D740F5"/>
    <w:rsid w:val="00D74D62"/>
    <w:rsid w:val="00D76469"/>
    <w:rsid w:val="00D76C37"/>
    <w:rsid w:val="00D8081F"/>
    <w:rsid w:val="00D83F51"/>
    <w:rsid w:val="00D90609"/>
    <w:rsid w:val="00D92A16"/>
    <w:rsid w:val="00D936F3"/>
    <w:rsid w:val="00DA02FE"/>
    <w:rsid w:val="00DA3E42"/>
    <w:rsid w:val="00DA5DC7"/>
    <w:rsid w:val="00DB0906"/>
    <w:rsid w:val="00DB2213"/>
    <w:rsid w:val="00DB22DE"/>
    <w:rsid w:val="00DB2FCE"/>
    <w:rsid w:val="00DB30BC"/>
    <w:rsid w:val="00DB5F7C"/>
    <w:rsid w:val="00DB6AB7"/>
    <w:rsid w:val="00DB6C65"/>
    <w:rsid w:val="00DC3345"/>
    <w:rsid w:val="00DC41E8"/>
    <w:rsid w:val="00DC4623"/>
    <w:rsid w:val="00DC54DB"/>
    <w:rsid w:val="00DC58E9"/>
    <w:rsid w:val="00DD2D2A"/>
    <w:rsid w:val="00DD340F"/>
    <w:rsid w:val="00DE254D"/>
    <w:rsid w:val="00DE2DD9"/>
    <w:rsid w:val="00DE4837"/>
    <w:rsid w:val="00DE4A58"/>
    <w:rsid w:val="00DF013F"/>
    <w:rsid w:val="00DF0147"/>
    <w:rsid w:val="00DF07DA"/>
    <w:rsid w:val="00DF32A7"/>
    <w:rsid w:val="00DF3F15"/>
    <w:rsid w:val="00DF6111"/>
    <w:rsid w:val="00E00510"/>
    <w:rsid w:val="00E00EF9"/>
    <w:rsid w:val="00E0236D"/>
    <w:rsid w:val="00E031DA"/>
    <w:rsid w:val="00E038F9"/>
    <w:rsid w:val="00E04898"/>
    <w:rsid w:val="00E06787"/>
    <w:rsid w:val="00E0762F"/>
    <w:rsid w:val="00E076B2"/>
    <w:rsid w:val="00E07FAD"/>
    <w:rsid w:val="00E101FF"/>
    <w:rsid w:val="00E160BC"/>
    <w:rsid w:val="00E17C5F"/>
    <w:rsid w:val="00E221F8"/>
    <w:rsid w:val="00E2508B"/>
    <w:rsid w:val="00E26AAA"/>
    <w:rsid w:val="00E3234C"/>
    <w:rsid w:val="00E324EE"/>
    <w:rsid w:val="00E34F7C"/>
    <w:rsid w:val="00E37D6A"/>
    <w:rsid w:val="00E4156F"/>
    <w:rsid w:val="00E42134"/>
    <w:rsid w:val="00E429F2"/>
    <w:rsid w:val="00E44ABB"/>
    <w:rsid w:val="00E459BF"/>
    <w:rsid w:val="00E537B6"/>
    <w:rsid w:val="00E54BA7"/>
    <w:rsid w:val="00E55CB2"/>
    <w:rsid w:val="00E55D22"/>
    <w:rsid w:val="00E57141"/>
    <w:rsid w:val="00E7121F"/>
    <w:rsid w:val="00E716B3"/>
    <w:rsid w:val="00E73A59"/>
    <w:rsid w:val="00E74A4D"/>
    <w:rsid w:val="00E806CB"/>
    <w:rsid w:val="00E81DDD"/>
    <w:rsid w:val="00E82812"/>
    <w:rsid w:val="00E832BB"/>
    <w:rsid w:val="00E8383A"/>
    <w:rsid w:val="00E83B3F"/>
    <w:rsid w:val="00E83E56"/>
    <w:rsid w:val="00E9008B"/>
    <w:rsid w:val="00E919E8"/>
    <w:rsid w:val="00E9623E"/>
    <w:rsid w:val="00EA1744"/>
    <w:rsid w:val="00EA27BB"/>
    <w:rsid w:val="00EA36C7"/>
    <w:rsid w:val="00EA3824"/>
    <w:rsid w:val="00EA7640"/>
    <w:rsid w:val="00EB2724"/>
    <w:rsid w:val="00EB27BD"/>
    <w:rsid w:val="00EB2C3C"/>
    <w:rsid w:val="00EB3DEF"/>
    <w:rsid w:val="00EB45F9"/>
    <w:rsid w:val="00EB5AFA"/>
    <w:rsid w:val="00EB6B7D"/>
    <w:rsid w:val="00EB7CD9"/>
    <w:rsid w:val="00EC1E9C"/>
    <w:rsid w:val="00EC22B8"/>
    <w:rsid w:val="00EC2D7A"/>
    <w:rsid w:val="00EC334D"/>
    <w:rsid w:val="00EC49F8"/>
    <w:rsid w:val="00EC574C"/>
    <w:rsid w:val="00EC613A"/>
    <w:rsid w:val="00EC64AD"/>
    <w:rsid w:val="00EC75E7"/>
    <w:rsid w:val="00ED01E9"/>
    <w:rsid w:val="00ED0B6F"/>
    <w:rsid w:val="00ED2589"/>
    <w:rsid w:val="00ED469D"/>
    <w:rsid w:val="00ED7E90"/>
    <w:rsid w:val="00EE02FF"/>
    <w:rsid w:val="00EE1450"/>
    <w:rsid w:val="00EE1637"/>
    <w:rsid w:val="00EE295E"/>
    <w:rsid w:val="00EE3392"/>
    <w:rsid w:val="00EE4321"/>
    <w:rsid w:val="00EE58C1"/>
    <w:rsid w:val="00EE6137"/>
    <w:rsid w:val="00EF2E60"/>
    <w:rsid w:val="00EF3BE8"/>
    <w:rsid w:val="00EF480C"/>
    <w:rsid w:val="00EF5D50"/>
    <w:rsid w:val="00F004C7"/>
    <w:rsid w:val="00F018BD"/>
    <w:rsid w:val="00F01B02"/>
    <w:rsid w:val="00F1162E"/>
    <w:rsid w:val="00F13CEC"/>
    <w:rsid w:val="00F15A54"/>
    <w:rsid w:val="00F1608C"/>
    <w:rsid w:val="00F228F3"/>
    <w:rsid w:val="00F22EC0"/>
    <w:rsid w:val="00F23D3B"/>
    <w:rsid w:val="00F306EB"/>
    <w:rsid w:val="00F32C2D"/>
    <w:rsid w:val="00F35E96"/>
    <w:rsid w:val="00F3652B"/>
    <w:rsid w:val="00F4391C"/>
    <w:rsid w:val="00F47367"/>
    <w:rsid w:val="00F53CAA"/>
    <w:rsid w:val="00F544E6"/>
    <w:rsid w:val="00F553DE"/>
    <w:rsid w:val="00F555D4"/>
    <w:rsid w:val="00F5577F"/>
    <w:rsid w:val="00F61203"/>
    <w:rsid w:val="00F62BAA"/>
    <w:rsid w:val="00F63D85"/>
    <w:rsid w:val="00F66B64"/>
    <w:rsid w:val="00F675C7"/>
    <w:rsid w:val="00F7270A"/>
    <w:rsid w:val="00F735B8"/>
    <w:rsid w:val="00F819CF"/>
    <w:rsid w:val="00F82E48"/>
    <w:rsid w:val="00F85B54"/>
    <w:rsid w:val="00F8712E"/>
    <w:rsid w:val="00F87130"/>
    <w:rsid w:val="00F9341C"/>
    <w:rsid w:val="00F9463E"/>
    <w:rsid w:val="00F977C3"/>
    <w:rsid w:val="00FA40FA"/>
    <w:rsid w:val="00FA5359"/>
    <w:rsid w:val="00FA54CE"/>
    <w:rsid w:val="00FA7AA2"/>
    <w:rsid w:val="00FB09A5"/>
    <w:rsid w:val="00FB0B9B"/>
    <w:rsid w:val="00FB1463"/>
    <w:rsid w:val="00FB14EB"/>
    <w:rsid w:val="00FB172F"/>
    <w:rsid w:val="00FB25A7"/>
    <w:rsid w:val="00FC20B8"/>
    <w:rsid w:val="00FD1E39"/>
    <w:rsid w:val="00FD4816"/>
    <w:rsid w:val="00FE05AF"/>
    <w:rsid w:val="00FE44B2"/>
    <w:rsid w:val="00FE5937"/>
    <w:rsid w:val="00FE6252"/>
    <w:rsid w:val="00FF2C63"/>
    <w:rsid w:val="00FF445D"/>
    <w:rsid w:val="00FF58F9"/>
    <w:rsid w:val="06D240BD"/>
    <w:rsid w:val="0B497F49"/>
    <w:rsid w:val="11722404"/>
    <w:rsid w:val="12B344E7"/>
    <w:rsid w:val="1C70013B"/>
    <w:rsid w:val="272216BC"/>
    <w:rsid w:val="29865462"/>
    <w:rsid w:val="2B5A68AC"/>
    <w:rsid w:val="2D62561C"/>
    <w:rsid w:val="2DB04C5A"/>
    <w:rsid w:val="2F6A001E"/>
    <w:rsid w:val="37F65674"/>
    <w:rsid w:val="3BE454B5"/>
    <w:rsid w:val="5B9F6109"/>
    <w:rsid w:val="5BDF05C4"/>
    <w:rsid w:val="5C14118E"/>
    <w:rsid w:val="5D807648"/>
    <w:rsid w:val="656F566D"/>
    <w:rsid w:val="7C33204B"/>
    <w:rsid w:val="7E0553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szCs w:val="22"/>
      <w:lang w:val="en-US" w:eastAsia="zh-CN" w:bidi="ar-SA"/>
      <w14:ligatures w14:val="standardContextual"/>
    </w:rPr>
  </w:style>
  <w:style w:type="paragraph" w:styleId="2">
    <w:name w:val="heading 1"/>
    <w:basedOn w:val="1"/>
    <w:next w:val="1"/>
    <w:link w:val="23"/>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4"/>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5"/>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6"/>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27"/>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szCs w:val="24"/>
    </w:rPr>
  </w:style>
  <w:style w:type="paragraph" w:styleId="7">
    <w:name w:val="heading 6"/>
    <w:basedOn w:val="1"/>
    <w:next w:val="1"/>
    <w:link w:val="28"/>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29"/>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0"/>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1"/>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3"/>
    <w:unhideWhenUsed/>
    <w:qFormat/>
    <w:uiPriority w:val="99"/>
    <w:pPr>
      <w:jc w:val="left"/>
    </w:pPr>
  </w:style>
  <w:style w:type="paragraph" w:styleId="12">
    <w:name w:val="footer"/>
    <w:basedOn w:val="1"/>
    <w:link w:val="49"/>
    <w:unhideWhenUsed/>
    <w:qFormat/>
    <w:uiPriority w:val="99"/>
    <w:pPr>
      <w:tabs>
        <w:tab w:val="center" w:pos="4153"/>
        <w:tab w:val="right" w:pos="8306"/>
      </w:tabs>
      <w:snapToGrid w:val="0"/>
      <w:jc w:val="left"/>
    </w:pPr>
    <w:rPr>
      <w:sz w:val="18"/>
      <w:szCs w:val="18"/>
    </w:rPr>
  </w:style>
  <w:style w:type="paragraph" w:styleId="13">
    <w:name w:val="header"/>
    <w:basedOn w:val="1"/>
    <w:link w:val="48"/>
    <w:unhideWhenUsed/>
    <w:qFormat/>
    <w:uiPriority w:val="99"/>
    <w:pPr>
      <w:tabs>
        <w:tab w:val="center" w:pos="4153"/>
        <w:tab w:val="right" w:pos="8306"/>
      </w:tabs>
      <w:snapToGrid w:val="0"/>
      <w:jc w:val="center"/>
    </w:pPr>
    <w:rPr>
      <w:sz w:val="18"/>
      <w:szCs w:val="18"/>
    </w:rPr>
  </w:style>
  <w:style w:type="paragraph" w:styleId="14">
    <w:name w:val="Subtitle"/>
    <w:basedOn w:val="1"/>
    <w:next w:val="1"/>
    <w:link w:val="33"/>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footnote text"/>
    <w:basedOn w:val="1"/>
    <w:link w:val="41"/>
    <w:semiHidden/>
    <w:unhideWhenUsed/>
    <w:qFormat/>
    <w:uiPriority w:val="99"/>
    <w:pPr>
      <w:snapToGrid w:val="0"/>
      <w:jc w:val="left"/>
    </w:pPr>
    <w:rPr>
      <w:sz w:val="18"/>
      <w:szCs w:val="18"/>
    </w:rPr>
  </w:style>
  <w:style w:type="paragraph" w:styleId="16">
    <w:name w:val="Title"/>
    <w:basedOn w:val="1"/>
    <w:next w:val="1"/>
    <w:link w:val="32"/>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7">
    <w:name w:val="annotation subject"/>
    <w:basedOn w:val="11"/>
    <w:next w:val="11"/>
    <w:link w:val="44"/>
    <w:semiHidden/>
    <w:unhideWhenUsed/>
    <w:qFormat/>
    <w:uiPriority w:val="99"/>
    <w:rPr>
      <w:b/>
      <w:bCs/>
    </w:rPr>
  </w:style>
  <w:style w:type="character" w:styleId="20">
    <w:name w:val="Hyperlink"/>
    <w:basedOn w:val="19"/>
    <w:unhideWhenUsed/>
    <w:qFormat/>
    <w:uiPriority w:val="99"/>
    <w:rPr>
      <w:color w:val="467886" w:themeColor="hyperlink"/>
      <w:u w:val="single"/>
      <w14:textFill>
        <w14:solidFill>
          <w14:schemeClr w14:val="hlink"/>
        </w14:solidFill>
      </w14:textFill>
    </w:rPr>
  </w:style>
  <w:style w:type="character" w:styleId="21">
    <w:name w:val="annotation reference"/>
    <w:basedOn w:val="19"/>
    <w:semiHidden/>
    <w:unhideWhenUsed/>
    <w:qFormat/>
    <w:uiPriority w:val="99"/>
    <w:rPr>
      <w:sz w:val="21"/>
      <w:szCs w:val="21"/>
    </w:rPr>
  </w:style>
  <w:style w:type="character" w:styleId="22">
    <w:name w:val="footnote reference"/>
    <w:basedOn w:val="19"/>
    <w:semiHidden/>
    <w:unhideWhenUsed/>
    <w:qFormat/>
    <w:uiPriority w:val="99"/>
    <w:rPr>
      <w:vertAlign w:val="superscript"/>
    </w:rPr>
  </w:style>
  <w:style w:type="character" w:customStyle="1" w:styleId="23">
    <w:name w:val="标题 1 字符"/>
    <w:basedOn w:val="19"/>
    <w:link w:val="2"/>
    <w:qFormat/>
    <w:uiPriority w:val="9"/>
    <w:rPr>
      <w:rFonts w:asciiTheme="majorHAnsi" w:hAnsiTheme="majorHAnsi" w:eastAsiaTheme="majorEastAsia" w:cstheme="majorBidi"/>
      <w:color w:val="104862" w:themeColor="accent1" w:themeShade="BF"/>
      <w:sz w:val="48"/>
      <w:szCs w:val="48"/>
    </w:rPr>
  </w:style>
  <w:style w:type="character" w:customStyle="1" w:styleId="24">
    <w:name w:val="标题 2 字符"/>
    <w:basedOn w:val="19"/>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5">
    <w:name w:val="标题 3 字符"/>
    <w:basedOn w:val="19"/>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6">
    <w:name w:val="标题 4 字符"/>
    <w:basedOn w:val="19"/>
    <w:link w:val="5"/>
    <w:semiHidden/>
    <w:qFormat/>
    <w:uiPriority w:val="9"/>
    <w:rPr>
      <w:rFonts w:asciiTheme="minorHAnsi" w:hAnsiTheme="minorHAnsi" w:eastAsiaTheme="minorEastAsia" w:cstheme="majorBidi"/>
      <w:color w:val="104862" w:themeColor="accent1" w:themeShade="BF"/>
      <w:sz w:val="28"/>
      <w:szCs w:val="28"/>
    </w:rPr>
  </w:style>
  <w:style w:type="character" w:customStyle="1" w:styleId="27">
    <w:name w:val="标题 5 字符"/>
    <w:basedOn w:val="19"/>
    <w:link w:val="6"/>
    <w:semiHidden/>
    <w:qFormat/>
    <w:uiPriority w:val="9"/>
    <w:rPr>
      <w:rFonts w:asciiTheme="minorHAnsi" w:hAnsiTheme="minorHAnsi" w:eastAsiaTheme="minorEastAsia" w:cstheme="majorBidi"/>
      <w:color w:val="104862" w:themeColor="accent1" w:themeShade="BF"/>
      <w:sz w:val="24"/>
      <w:szCs w:val="24"/>
    </w:rPr>
  </w:style>
  <w:style w:type="character" w:customStyle="1" w:styleId="28">
    <w:name w:val="标题 6 字符"/>
    <w:basedOn w:val="19"/>
    <w:link w:val="7"/>
    <w:semiHidden/>
    <w:qFormat/>
    <w:uiPriority w:val="9"/>
    <w:rPr>
      <w:rFonts w:asciiTheme="minorHAnsi" w:hAnsiTheme="minorHAnsi" w:eastAsiaTheme="minorEastAsia" w:cstheme="majorBidi"/>
      <w:b/>
      <w:bCs/>
      <w:color w:val="104862" w:themeColor="accent1" w:themeShade="BF"/>
    </w:rPr>
  </w:style>
  <w:style w:type="character" w:customStyle="1" w:styleId="29">
    <w:name w:val="标题 7 字符"/>
    <w:basedOn w:val="19"/>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30">
    <w:name w:val="标题 8 字符"/>
    <w:basedOn w:val="19"/>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31">
    <w:name w:val="标题 9 字符"/>
    <w:basedOn w:val="19"/>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2">
    <w:name w:val="标题 字符"/>
    <w:basedOn w:val="19"/>
    <w:link w:val="16"/>
    <w:qFormat/>
    <w:uiPriority w:val="10"/>
    <w:rPr>
      <w:rFonts w:asciiTheme="majorHAnsi" w:hAnsiTheme="majorHAnsi" w:eastAsiaTheme="majorEastAsia" w:cstheme="majorBidi"/>
      <w:spacing w:val="-10"/>
      <w:kern w:val="28"/>
      <w:sz w:val="56"/>
      <w:szCs w:val="56"/>
    </w:rPr>
  </w:style>
  <w:style w:type="character" w:customStyle="1" w:styleId="33">
    <w:name w:val="副标题 字符"/>
    <w:basedOn w:val="19"/>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4">
    <w:name w:val="Quote"/>
    <w:basedOn w:val="1"/>
    <w:next w:val="1"/>
    <w:link w:val="35"/>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5">
    <w:name w:val="引用 字符"/>
    <w:basedOn w:val="19"/>
    <w:link w:val="34"/>
    <w:qFormat/>
    <w:uiPriority w:val="29"/>
    <w:rPr>
      <w:i/>
      <w:iCs/>
      <w:color w:val="404040" w:themeColor="text1" w:themeTint="BF"/>
      <w14:textFill>
        <w14:solidFill>
          <w14:schemeClr w14:val="tx1">
            <w14:lumMod w14:val="75000"/>
            <w14:lumOff w14:val="25000"/>
          </w14:schemeClr>
        </w14:solidFill>
      </w14:textFill>
    </w:rPr>
  </w:style>
  <w:style w:type="paragraph" w:styleId="36">
    <w:name w:val="List Paragraph"/>
    <w:basedOn w:val="1"/>
    <w:qFormat/>
    <w:uiPriority w:val="34"/>
    <w:pPr>
      <w:ind w:left="720"/>
      <w:contextualSpacing/>
    </w:pPr>
  </w:style>
  <w:style w:type="character" w:customStyle="1" w:styleId="37">
    <w:name w:val="Intense Emphasis1"/>
    <w:basedOn w:val="19"/>
    <w:qFormat/>
    <w:uiPriority w:val="21"/>
    <w:rPr>
      <w:i/>
      <w:iCs/>
      <w:color w:val="104862" w:themeColor="accent1" w:themeShade="BF"/>
    </w:rPr>
  </w:style>
  <w:style w:type="paragraph" w:styleId="38">
    <w:name w:val="Intense Quote"/>
    <w:basedOn w:val="1"/>
    <w:next w:val="1"/>
    <w:link w:val="39"/>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9">
    <w:name w:val="明显引用 字符"/>
    <w:basedOn w:val="19"/>
    <w:link w:val="38"/>
    <w:qFormat/>
    <w:uiPriority w:val="30"/>
    <w:rPr>
      <w:i/>
      <w:iCs/>
      <w:color w:val="104862" w:themeColor="accent1" w:themeShade="BF"/>
    </w:rPr>
  </w:style>
  <w:style w:type="character" w:customStyle="1" w:styleId="40">
    <w:name w:val="Intense Reference1"/>
    <w:basedOn w:val="19"/>
    <w:qFormat/>
    <w:uiPriority w:val="32"/>
    <w:rPr>
      <w:b/>
      <w:bCs/>
      <w:smallCaps/>
      <w:color w:val="104862" w:themeColor="accent1" w:themeShade="BF"/>
      <w:spacing w:val="5"/>
    </w:rPr>
  </w:style>
  <w:style w:type="character" w:customStyle="1" w:styleId="41">
    <w:name w:val="脚注文本 字符"/>
    <w:basedOn w:val="19"/>
    <w:link w:val="15"/>
    <w:semiHidden/>
    <w:qFormat/>
    <w:uiPriority w:val="99"/>
    <w:rPr>
      <w:sz w:val="18"/>
      <w:szCs w:val="18"/>
    </w:rPr>
  </w:style>
  <w:style w:type="paragraph" w:customStyle="1" w:styleId="42">
    <w:name w:val="Revision1"/>
    <w:hidden/>
    <w:unhideWhenUsed/>
    <w:qFormat/>
    <w:uiPriority w:val="99"/>
    <w:rPr>
      <w:rFonts w:ascii="Times New Roman" w:hAnsi="Times New Roman" w:eastAsia="宋体" w:cstheme="minorBidi"/>
      <w:kern w:val="2"/>
      <w:sz w:val="21"/>
      <w:szCs w:val="22"/>
      <w:lang w:val="en-US" w:eastAsia="zh-CN" w:bidi="ar-SA"/>
      <w14:ligatures w14:val="standardContextual"/>
    </w:rPr>
  </w:style>
  <w:style w:type="character" w:customStyle="1" w:styleId="43">
    <w:name w:val="批注文字 字符"/>
    <w:basedOn w:val="19"/>
    <w:link w:val="11"/>
    <w:qFormat/>
    <w:uiPriority w:val="99"/>
    <w:rPr>
      <w:kern w:val="2"/>
      <w:sz w:val="21"/>
      <w:szCs w:val="22"/>
      <w14:ligatures w14:val="standardContextual"/>
    </w:rPr>
  </w:style>
  <w:style w:type="character" w:customStyle="1" w:styleId="44">
    <w:name w:val="批注主题 字符"/>
    <w:basedOn w:val="43"/>
    <w:link w:val="17"/>
    <w:semiHidden/>
    <w:qFormat/>
    <w:uiPriority w:val="99"/>
    <w:rPr>
      <w:b/>
      <w:bCs/>
      <w:kern w:val="2"/>
      <w:sz w:val="21"/>
      <w:szCs w:val="22"/>
      <w14:ligatures w14:val="standardContextual"/>
    </w:rPr>
  </w:style>
  <w:style w:type="paragraph" w:customStyle="1" w:styleId="45">
    <w:name w:val="Revision2"/>
    <w:hidden/>
    <w:unhideWhenUsed/>
    <w:qFormat/>
    <w:uiPriority w:val="99"/>
    <w:rPr>
      <w:rFonts w:ascii="Times New Roman" w:hAnsi="Times New Roman" w:eastAsia="宋体" w:cstheme="minorBidi"/>
      <w:kern w:val="2"/>
      <w:sz w:val="21"/>
      <w:szCs w:val="22"/>
      <w:lang w:val="en-US" w:eastAsia="zh-CN" w:bidi="ar-SA"/>
      <w14:ligatures w14:val="standardContextual"/>
    </w:rPr>
  </w:style>
  <w:style w:type="paragraph" w:customStyle="1" w:styleId="46">
    <w:name w:val="Revision3"/>
    <w:hidden/>
    <w:unhideWhenUsed/>
    <w:qFormat/>
    <w:uiPriority w:val="99"/>
    <w:rPr>
      <w:rFonts w:ascii="Times New Roman" w:hAnsi="Times New Roman" w:eastAsia="宋体" w:cstheme="minorBidi"/>
      <w:kern w:val="2"/>
      <w:sz w:val="21"/>
      <w:szCs w:val="22"/>
      <w:lang w:val="en-US" w:eastAsia="zh-CN" w:bidi="ar-SA"/>
      <w14:ligatures w14:val="standardContextual"/>
    </w:rPr>
  </w:style>
  <w:style w:type="character" w:customStyle="1" w:styleId="47">
    <w:name w:val="Unresolved Mention1"/>
    <w:basedOn w:val="19"/>
    <w:semiHidden/>
    <w:unhideWhenUsed/>
    <w:qFormat/>
    <w:uiPriority w:val="99"/>
    <w:rPr>
      <w:color w:val="605E5C"/>
      <w:shd w:val="clear" w:color="auto" w:fill="E1DFDD"/>
    </w:rPr>
  </w:style>
  <w:style w:type="character" w:customStyle="1" w:styleId="48">
    <w:name w:val="页眉 字符"/>
    <w:basedOn w:val="19"/>
    <w:link w:val="13"/>
    <w:qFormat/>
    <w:uiPriority w:val="99"/>
    <w:rPr>
      <w:kern w:val="2"/>
      <w:sz w:val="18"/>
      <w:szCs w:val="18"/>
      <w14:ligatures w14:val="standardContextual"/>
    </w:rPr>
  </w:style>
  <w:style w:type="character" w:customStyle="1" w:styleId="49">
    <w:name w:val="页脚 字符"/>
    <w:basedOn w:val="19"/>
    <w:link w:val="12"/>
    <w:qFormat/>
    <w:uiPriority w:val="99"/>
    <w:rPr>
      <w:kern w:val="2"/>
      <w:sz w:val="18"/>
      <w:szCs w:val="18"/>
      <w14:ligatures w14:val="standardContextual"/>
    </w:rPr>
  </w:style>
  <w:style w:type="paragraph" w:customStyle="1" w:styleId="50">
    <w:name w:val="Revision"/>
    <w:hidden/>
    <w:unhideWhenUsed/>
    <w:qFormat/>
    <w:uiPriority w:val="99"/>
    <w:rPr>
      <w:rFonts w:ascii="Times New Roman" w:hAnsi="Times New Roman" w:eastAsia="宋体"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7CE8B-E4CA-467E-9E90-BDDE84C09885}">
  <ds:schemaRefs/>
</ds:datastoreItem>
</file>

<file path=docProps/app.xml><?xml version="1.0" encoding="utf-8"?>
<Properties xmlns="http://schemas.openxmlformats.org/officeDocument/2006/extended-properties" xmlns:vt="http://schemas.openxmlformats.org/officeDocument/2006/docPropsVTypes">
  <Template>Normal</Template>
  <Pages>12</Pages>
  <Words>2585</Words>
  <Characters>14735</Characters>
  <Lines>122</Lines>
  <Paragraphs>34</Paragraphs>
  <TotalTime>0</TotalTime>
  <ScaleCrop>false</ScaleCrop>
  <LinksUpToDate>false</LinksUpToDate>
  <CharactersWithSpaces>17286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2024-05-31T02:25:00Z</dcterms:created>
  <dc:creator>Xinyi Cai</dc:creator>
  <cp:lastModifiedBy>木辛</cp:lastModifiedBy>
  <dcterms:modified xsi:type="dcterms:W3CDTF">2024-11-22T02:42:18Z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09D63D48AC3B4067AA5DA9A64CF6DBF8_13</vt:lpwstr>
  </property>
</Properties>
</file>