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auto"/>
        <w:jc w:val="center"/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第六和第七次人口普查期间人口空间分布变化</w:t>
      </w:r>
    </w:p>
    <w:p>
      <w:pPr>
        <w:widowControl/>
        <w:spacing w:line="300" w:lineRule="auto"/>
        <w:jc w:val="center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李杰伟 梁芊芊 赵文悦 叶洁娜</w:t>
      </w:r>
    </w:p>
    <w:p>
      <w:pPr>
        <w:widowControl/>
        <w:spacing w:line="300" w:lineRule="auto"/>
        <w:jc w:val="center"/>
        <w:rPr>
          <w:rFonts w:hint="eastAsia" w:ascii="宋体" w:hAnsi="宋体" w:eastAsia="宋体"/>
          <w:sz w:val="24"/>
          <w:szCs w:val="24"/>
        </w:rPr>
      </w:pPr>
    </w:p>
    <w:p>
      <w:pPr>
        <w:widowControl/>
        <w:spacing w:line="300" w:lineRule="auto"/>
        <w:jc w:val="center"/>
        <w:rPr>
          <w:rFonts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2</w:t>
      </w:r>
      <w:r>
        <w:rPr>
          <w:rFonts w:ascii="仿宋" w:hAnsi="仿宋" w:eastAsia="仿宋"/>
          <w:sz w:val="24"/>
          <w:szCs w:val="24"/>
        </w:rPr>
        <w:t>011</w:t>
      </w:r>
      <w:r>
        <w:rPr>
          <w:rFonts w:hint="eastAsia" w:ascii="仿宋" w:hAnsi="仿宋" w:eastAsia="仿宋"/>
          <w:sz w:val="24"/>
          <w:szCs w:val="24"/>
        </w:rPr>
        <w:t>年1</w:t>
      </w:r>
      <w:r>
        <w:rPr>
          <w:rFonts w:ascii="仿宋" w:hAnsi="仿宋" w:eastAsia="仿宋"/>
          <w:sz w:val="24"/>
          <w:szCs w:val="24"/>
        </w:rPr>
        <w:t>1</w:t>
      </w:r>
      <w:r>
        <w:rPr>
          <w:rFonts w:hint="eastAsia" w:ascii="仿宋" w:hAnsi="仿宋" w:eastAsia="仿宋"/>
          <w:sz w:val="24"/>
          <w:szCs w:val="24"/>
        </w:rPr>
        <w:t>月8日版本</w:t>
      </w:r>
    </w:p>
    <w:p>
      <w:pPr>
        <w:widowControl/>
        <w:spacing w:line="300" w:lineRule="auto"/>
        <w:jc w:val="center"/>
        <w:rPr>
          <w:rFonts w:hint="eastAsia" w:ascii="仿宋" w:hAnsi="仿宋" w:eastAsia="仿宋"/>
          <w:sz w:val="24"/>
          <w:szCs w:val="24"/>
        </w:rPr>
      </w:pPr>
    </w:p>
    <w:p>
      <w:pPr>
        <w:widowControl/>
        <w:spacing w:line="300" w:lineRule="auto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摘要：“人往何处走”，关乎大家对中国城市与区域政策的理解。为此我们收集整理了“七普”和“六普”地级市及区县的人口数据，并进行核对、调整，使口径统一。由此我们可以计算2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年相比于2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城市和区县的人口增减情况。结果发现，城市层面，人口主要往沿海和中心城市集中；区县层面，人口主要向中心城区集中；中心城市的外围地区，人口流入趋势也相对明显。“集聚中走向平衡”，是人们用脚投票的结果。</w:t>
      </w:r>
    </w:p>
    <w:p>
      <w:pPr>
        <w:widowControl/>
        <w:spacing w:line="300" w:lineRule="auto"/>
        <w:jc w:val="left"/>
        <w:rPr>
          <w:rFonts w:ascii="宋体" w:hAnsi="宋体" w:eastAsia="宋体"/>
          <w:sz w:val="24"/>
          <w:szCs w:val="24"/>
        </w:rPr>
      </w:pP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第七次全国人口普查（以下简称‘七普’）涉及我国人口数量、结构、分布等方面的情况，主要数据公布后一直备受关注，引发了社会的热议。然而，由于行政区划调整等原因，使得城市或者区县的口径难以统一，“七普”和“六普”数据也就难以比较。为此我们通过各种渠道相互校对了“七普”和“六普”的数据，计算了统一口径下的人口数据，并进行了简单的分析。从人口的地区分布来看，“七普”数据再次证明人口的集中仍在加强。</w:t>
      </w: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数据来源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首先，我们从各省、市、自治区、区县、管委会等的统计部门下载“第七次全国人口普查公报”，提取2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年人口数据；并通过“七普”公报上给出的各城市/区县人口数据，或者各城市/区县2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年占各省/市的人口比例回溯出2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年的人口数据（以下简称‘回溯数据’）。同时收集到2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年第六次全国人口普查（以下简称‘六普’）的城市、分县、乡镇街道数据，以及2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年至2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年所有的行政区划调整记录。其中，有部分城市数据缺失；新疆未能下载城市的统计公报；吉林省吉林市、河南省安阳市等几个城市和地区未公布全部区县的数据。</w:t>
      </w: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数据调整过程与规则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由于2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-</w:t>
      </w:r>
      <w:r>
        <w:rPr>
          <w:rFonts w:ascii="宋体" w:hAnsi="宋体" w:eastAsia="宋体"/>
          <w:sz w:val="24"/>
          <w:szCs w:val="24"/>
        </w:rPr>
        <w:t>2020</w:t>
      </w:r>
      <w:r>
        <w:rPr>
          <w:rFonts w:hint="eastAsia" w:ascii="宋体" w:hAnsi="宋体" w:eastAsia="宋体"/>
          <w:sz w:val="24"/>
          <w:szCs w:val="24"/>
        </w:rPr>
        <w:t>年间，将近一半的城市进行过行政区划调整或设立各种经济开发区，使得2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年的城市/区县与2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年的城市/区县口径并不一致。为了统一口径，我们以民政部官网最新公布的行政区划为基础，对“七普”和“六普”的城市/区县数据进行了调整。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规则1：城市数据和区县数据，如果存在“回溯数据”和“六普”公布的数据，优先采用“回溯数据”，因为这包含了统计局2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年对2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年数据的调整。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规则2：新疆的城市、吉林市和安阳市等未公布全部区县的城市，城市所辖区县的人口增长率，都用城市的增长率代替。</w:t>
      </w: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（一）</w:t>
      </w:r>
      <w:r>
        <w:rPr>
          <w:rFonts w:ascii="宋体" w:hAnsi="宋体" w:eastAsia="宋体"/>
          <w:b/>
          <w:bCs/>
          <w:sz w:val="24"/>
          <w:szCs w:val="24"/>
        </w:rPr>
        <w:t>地级市</w:t>
      </w:r>
      <w:r>
        <w:rPr>
          <w:rFonts w:hint="eastAsia" w:ascii="宋体" w:hAnsi="宋体" w:eastAsia="宋体"/>
          <w:b/>
          <w:bCs/>
          <w:sz w:val="24"/>
          <w:szCs w:val="24"/>
        </w:rPr>
        <w:t>数据调整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地级市的调整相对简单，主要包括：（1）</w:t>
      </w:r>
      <w:r>
        <w:rPr>
          <w:rFonts w:ascii="Times New Roman" w:hAnsi="Times New Roman" w:eastAsia="宋体" w:cs="Times New Roman"/>
          <w:sz w:val="24"/>
          <w:szCs w:val="24"/>
        </w:rPr>
        <w:t>2020</w:t>
      </w:r>
      <w:r>
        <w:rPr>
          <w:rFonts w:ascii="宋体" w:hAnsi="宋体" w:eastAsia="宋体"/>
          <w:sz w:val="24"/>
          <w:szCs w:val="24"/>
        </w:rPr>
        <w:t>年的人口，省、市、自治区公报数据与城市公报数据有差异的，采用城市公报公布的数据</w:t>
      </w:r>
      <w:r>
        <w:rPr>
          <w:rFonts w:hint="eastAsia" w:ascii="宋体" w:hAnsi="宋体" w:eastAsia="宋体"/>
          <w:sz w:val="24"/>
          <w:szCs w:val="24"/>
        </w:rPr>
        <w:t>；（</w:t>
      </w:r>
      <w:r>
        <w:rPr>
          <w:rFonts w:ascii="宋体" w:hAnsi="宋体" w:eastAsia="宋体"/>
          <w:sz w:val="24"/>
          <w:szCs w:val="24"/>
        </w:rPr>
        <w:t>2</w:t>
      </w:r>
      <w:r>
        <w:rPr>
          <w:rFonts w:hint="eastAsia" w:ascii="宋体" w:hAnsi="宋体" w:eastAsia="宋体"/>
          <w:sz w:val="24"/>
          <w:szCs w:val="24"/>
        </w:rPr>
        <w:t>）2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的人口，除少数未公布数据的城市采用“六普”数据外，均采用各个城市“七普”公报所公布的数据；（2）城市之间有过行政区划调整的，如巢湖市、沈抚示范区等，依据“六普”分县数据和乡镇街道数据进行调整。</w:t>
      </w: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（二）</w:t>
      </w:r>
      <w:r>
        <w:rPr>
          <w:rFonts w:ascii="宋体" w:hAnsi="宋体" w:eastAsia="宋体"/>
          <w:b/>
          <w:bCs/>
          <w:sz w:val="24"/>
          <w:szCs w:val="24"/>
        </w:rPr>
        <w:t>区县数据调整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区县数据的调整比较复杂，本文只列出主要的规则。</w:t>
      </w: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对于</w:t>
      </w:r>
      <w:r>
        <w:rPr>
          <w:rFonts w:ascii="宋体" w:hAnsi="宋体" w:eastAsia="宋体"/>
          <w:b/>
          <w:bCs/>
          <w:sz w:val="24"/>
          <w:szCs w:val="24"/>
        </w:rPr>
        <w:t>2010</w:t>
      </w:r>
      <w:r>
        <w:rPr>
          <w:rFonts w:hint="eastAsia" w:ascii="宋体" w:hAnsi="宋体" w:eastAsia="宋体"/>
          <w:b/>
          <w:bCs/>
          <w:sz w:val="24"/>
          <w:szCs w:val="24"/>
        </w:rPr>
        <w:t>年人口数据的选取与调整</w:t>
      </w:r>
      <w:r>
        <w:rPr>
          <w:rFonts w:hint="eastAsia" w:ascii="宋体" w:hAnsi="宋体" w:eastAsia="宋体"/>
          <w:sz w:val="24"/>
          <w:szCs w:val="24"/>
        </w:rPr>
        <w:t>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依照“七普”公报是否给出2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年城市下辖区县的人口数据或占全市人口的比例，分为三种情况，“都有”、“缺失部分数据”、“都无”。调整规则如下：</w:t>
      </w:r>
    </w:p>
    <w:p>
      <w:pPr>
        <w:widowControl/>
        <w:spacing w:line="300" w:lineRule="auto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drawing>
          <wp:inline distT="0" distB="0" distL="0" distR="0">
            <wp:extent cx="5274310" cy="161798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17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第一，如果没有“回溯数据”，则采用“六普”分县数据或者采用“六普”分乡、镇、街道数据进行调整。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第二，如果缺失部分“回溯数据”，缺失部分采用“六普”分乡、镇、街道数据进行调整，其他区县采用同步调整之后的“六普”分县数据。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第三，如果有“回溯数据”，则进一步确认所在城市是否存在行政区划调整，尤其开发区、产业园等功能区。进一步的调整见“思维导图”。</w:t>
      </w: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对于</w:t>
      </w:r>
      <w:r>
        <w:rPr>
          <w:rFonts w:ascii="宋体" w:hAnsi="宋体" w:eastAsia="宋体"/>
          <w:b/>
          <w:bCs/>
          <w:sz w:val="24"/>
          <w:szCs w:val="24"/>
        </w:rPr>
        <w:t>2020年人口数据的选取与调整</w:t>
      </w:r>
      <w:r>
        <w:rPr>
          <w:rFonts w:hint="eastAsia" w:ascii="宋体" w:hAnsi="宋体" w:eastAsia="宋体"/>
          <w:sz w:val="24"/>
          <w:szCs w:val="24"/>
        </w:rPr>
        <w:t>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第一</w:t>
      </w:r>
      <w:r>
        <w:rPr>
          <w:rFonts w:hint="eastAsia" w:ascii="宋体" w:hAnsi="宋体" w:eastAsia="宋体"/>
          <w:sz w:val="24"/>
          <w:szCs w:val="24"/>
        </w:rPr>
        <w:t>，若地级市不存在行政区划调整，则直接选用“七普”公报上给出的数据。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>第二，</w:t>
      </w:r>
      <w:r>
        <w:rPr>
          <w:rFonts w:hint="eastAsia" w:ascii="宋体" w:hAnsi="宋体" w:eastAsia="宋体"/>
          <w:sz w:val="24"/>
          <w:szCs w:val="24"/>
        </w:rPr>
        <w:t>若存在调整（主要是功能区），则查询功能区下辖的街道和乡镇。</w:t>
      </w:r>
    </w:p>
    <w:p>
      <w:pPr>
        <w:widowControl/>
        <w:spacing w:line="300" w:lineRule="auto"/>
        <w:ind w:left="210" w:leftChars="100"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</w:t>
      </w:r>
      <w:r>
        <w:rPr>
          <w:rFonts w:ascii="宋体" w:hAnsi="宋体" w:eastAsia="宋体"/>
          <w:sz w:val="24"/>
          <w:szCs w:val="24"/>
        </w:rPr>
        <w:t>.</w:t>
      </w:r>
      <w:r>
        <w:rPr>
          <w:rFonts w:hint="eastAsia" w:ascii="宋体" w:hAnsi="宋体" w:eastAsia="宋体"/>
          <w:sz w:val="24"/>
          <w:szCs w:val="24"/>
        </w:rPr>
        <w:t>若无法查询到功能区代管的具体街道和乡镇，则根据地图等途径，找到功能区主体位置所在区县，将2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年功能区人口数据加到对应区县中，如陕西省西安市经济技术开发区，只能通过地图显示确认其主体位于未央区。</w:t>
      </w:r>
    </w:p>
    <w:p>
      <w:pPr>
        <w:widowControl/>
        <w:spacing w:line="300" w:lineRule="auto"/>
        <w:ind w:left="210" w:leftChars="100"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</w:t>
      </w:r>
      <w:r>
        <w:rPr>
          <w:rFonts w:ascii="宋体" w:hAnsi="宋体" w:eastAsia="宋体"/>
          <w:sz w:val="24"/>
          <w:szCs w:val="24"/>
        </w:rPr>
        <w:t>.</w:t>
      </w:r>
      <w:r>
        <w:rPr>
          <w:rFonts w:hint="eastAsia" w:ascii="宋体" w:hAnsi="宋体" w:eastAsia="宋体"/>
          <w:sz w:val="24"/>
          <w:szCs w:val="24"/>
        </w:rPr>
        <w:t>若能查询到功能区下辖的具体街道和乡镇，则进一步确认功能区代管的街道和乡镇是否在一个区县。</w:t>
      </w:r>
    </w:p>
    <w:p>
      <w:pPr>
        <w:widowControl/>
        <w:spacing w:line="300" w:lineRule="auto"/>
        <w:ind w:left="420" w:leftChars="200"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1</w:t>
      </w:r>
      <w:r>
        <w:rPr>
          <w:rFonts w:hint="eastAsia" w:ascii="宋体" w:hAnsi="宋体" w:eastAsia="宋体"/>
          <w:sz w:val="24"/>
          <w:szCs w:val="24"/>
        </w:rPr>
        <w:t>）若在一个区县，则将“七普”公报中功能区的数据加回所属区县的2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年数据中。例如，陕西省安康市高新区。</w:t>
      </w:r>
    </w:p>
    <w:p>
      <w:pPr>
        <w:widowControl/>
        <w:spacing w:line="300" w:lineRule="auto"/>
        <w:ind w:left="420" w:leftChars="200"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</w:t>
      </w:r>
      <w:r>
        <w:rPr>
          <w:rFonts w:ascii="宋体" w:hAnsi="宋体" w:eastAsia="宋体"/>
          <w:sz w:val="24"/>
          <w:szCs w:val="24"/>
        </w:rPr>
        <w:t>2</w:t>
      </w:r>
      <w:r>
        <w:rPr>
          <w:rFonts w:hint="eastAsia" w:ascii="宋体" w:hAnsi="宋体" w:eastAsia="宋体"/>
          <w:sz w:val="24"/>
          <w:szCs w:val="24"/>
        </w:rPr>
        <w:t>）若在不同区县。则查询是否公布功能区2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年的“七普</w:t>
      </w:r>
      <w:r>
        <w:rPr>
          <w:rFonts w:ascii="宋体" w:hAnsi="宋体" w:eastAsia="宋体"/>
          <w:sz w:val="24"/>
          <w:szCs w:val="24"/>
        </w:rPr>
        <w:t>”</w:t>
      </w:r>
      <w:r>
        <w:rPr>
          <w:rFonts w:hint="eastAsia" w:ascii="宋体" w:hAnsi="宋体" w:eastAsia="宋体"/>
          <w:sz w:val="24"/>
          <w:szCs w:val="24"/>
        </w:rPr>
        <w:t>数据公报。如果能查询到功能区的“七普</w:t>
      </w:r>
      <w:r>
        <w:rPr>
          <w:rFonts w:ascii="宋体" w:hAnsi="宋体" w:eastAsia="宋体"/>
          <w:sz w:val="24"/>
          <w:szCs w:val="24"/>
        </w:rPr>
        <w:t>”</w:t>
      </w:r>
      <w:r>
        <w:rPr>
          <w:rFonts w:hint="eastAsia" w:ascii="宋体" w:hAnsi="宋体" w:eastAsia="宋体"/>
          <w:sz w:val="24"/>
          <w:szCs w:val="24"/>
        </w:rPr>
        <w:t>公报，则直接将公报的乡镇街道数据加回所属区县，例如，河北省唐山市高新技术产业开发区。如果功能区未公布2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年的“七普</w:t>
      </w:r>
      <w:r>
        <w:rPr>
          <w:rFonts w:ascii="宋体" w:hAnsi="宋体" w:eastAsia="宋体"/>
          <w:sz w:val="24"/>
          <w:szCs w:val="24"/>
        </w:rPr>
        <w:t>”</w:t>
      </w:r>
      <w:r>
        <w:rPr>
          <w:rFonts w:hint="eastAsia" w:ascii="宋体" w:hAnsi="宋体" w:eastAsia="宋体"/>
          <w:sz w:val="24"/>
          <w:szCs w:val="24"/>
        </w:rPr>
        <w:t>公报，则以下图为依据，做进一步调整，这些调整会产生一些误差。</w:t>
      </w:r>
    </w:p>
    <w:p>
      <w:pPr>
        <w:widowControl/>
        <w:spacing w:line="300" w:lineRule="auto"/>
        <w:jc w:val="left"/>
        <w:rPr>
          <w:rFonts w:ascii="宋体" w:hAnsi="宋体" w:eastAsia="宋体"/>
          <w:color w:val="0070C0"/>
          <w:sz w:val="24"/>
          <w:szCs w:val="24"/>
        </w:rPr>
      </w:pPr>
      <w:r>
        <w:rPr>
          <w:rFonts w:hint="eastAsia" w:ascii="宋体" w:hAnsi="宋体" w:eastAsia="宋体"/>
          <w:color w:val="0070C0"/>
          <w:sz w:val="24"/>
          <w:szCs w:val="24"/>
        </w:rPr>
        <w:drawing>
          <wp:inline distT="0" distB="0" distL="0" distR="0">
            <wp:extent cx="5274310" cy="338264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82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Ⅰ</w:t>
      </w:r>
      <w:r>
        <w:rPr>
          <w:rFonts w:ascii="宋体" w:hAnsi="宋体" w:eastAsia="宋体"/>
          <w:sz w:val="24"/>
          <w:szCs w:val="24"/>
        </w:rPr>
        <w:t xml:space="preserve">. </w:t>
      </w:r>
      <w:r>
        <w:rPr>
          <w:rFonts w:hint="eastAsia" w:ascii="宋体" w:hAnsi="宋体" w:eastAsia="宋体"/>
          <w:sz w:val="24"/>
          <w:szCs w:val="24"/>
        </w:rPr>
        <w:t>通过“六普”分乡镇街道数据</w:t>
      </w:r>
      <w:r>
        <w:rPr>
          <w:rFonts w:ascii="宋体" w:hAnsi="宋体" w:eastAsia="宋体"/>
          <w:sz w:val="24"/>
          <w:szCs w:val="24"/>
        </w:rPr>
        <w:t>算出</w:t>
      </w:r>
      <w:r>
        <w:rPr>
          <w:rFonts w:hint="eastAsia" w:ascii="宋体" w:hAnsi="宋体" w:eastAsia="宋体"/>
          <w:sz w:val="24"/>
          <w:szCs w:val="24"/>
        </w:rPr>
        <w:t>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</w:t>
      </w:r>
      <w:r>
        <w:rPr>
          <w:rFonts w:ascii="宋体" w:hAnsi="宋体" w:eastAsia="宋体"/>
          <w:sz w:val="24"/>
          <w:szCs w:val="24"/>
        </w:rPr>
        <w:t>涉及区县</w:t>
      </w:r>
      <w:r>
        <w:rPr>
          <w:rFonts w:hint="eastAsia" w:ascii="宋体" w:hAnsi="宋体" w:eastAsia="宋体"/>
          <w:sz w:val="24"/>
          <w:szCs w:val="24"/>
        </w:rPr>
        <w:t>的乡镇街道人口在</w:t>
      </w:r>
      <w:r>
        <w:rPr>
          <w:rFonts w:ascii="宋体" w:hAnsi="宋体" w:eastAsia="宋体"/>
          <w:sz w:val="24"/>
          <w:szCs w:val="24"/>
        </w:rPr>
        <w:t>功能区中所占比例，以此作为2020年的比例，再乘以公报中2020年功能区的人口数据，得到功能区涉及区县相应的2020年数据，</w:t>
      </w:r>
      <w:r>
        <w:rPr>
          <w:rFonts w:hint="eastAsia" w:ascii="宋体" w:hAnsi="宋体" w:eastAsia="宋体"/>
          <w:sz w:val="24"/>
          <w:szCs w:val="24"/>
        </w:rPr>
        <w:t>再将其</w:t>
      </w:r>
      <w:r>
        <w:rPr>
          <w:rFonts w:ascii="宋体" w:hAnsi="宋体" w:eastAsia="宋体"/>
          <w:sz w:val="24"/>
          <w:szCs w:val="24"/>
        </w:rPr>
        <w:t>加回所属区县的2020年数据中。例如，河北省石家庄市高新技术产业开发区。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Ⅱ</w:t>
      </w:r>
      <w:r>
        <w:rPr>
          <w:rFonts w:ascii="宋体" w:hAnsi="宋体" w:eastAsia="宋体"/>
          <w:sz w:val="24"/>
          <w:szCs w:val="24"/>
        </w:rPr>
        <w:t>.利用涉及区县2010年已有的</w:t>
      </w:r>
      <w:r>
        <w:rPr>
          <w:rFonts w:hint="eastAsia" w:ascii="宋体" w:hAnsi="宋体" w:eastAsia="宋体"/>
          <w:sz w:val="24"/>
          <w:szCs w:val="24"/>
        </w:rPr>
        <w:t>乡镇街道</w:t>
      </w:r>
      <w:r>
        <w:rPr>
          <w:rFonts w:ascii="宋体" w:hAnsi="宋体" w:eastAsia="宋体"/>
          <w:sz w:val="24"/>
          <w:szCs w:val="24"/>
        </w:rPr>
        <w:t>数据</w:t>
      </w:r>
      <w:r>
        <w:rPr>
          <w:rFonts w:hint="eastAsia" w:ascii="宋体" w:hAnsi="宋体" w:eastAsia="宋体"/>
          <w:sz w:val="24"/>
          <w:szCs w:val="24"/>
        </w:rPr>
        <w:t>除以功能区的回溯数据</w:t>
      </w:r>
      <w:r>
        <w:rPr>
          <w:rFonts w:ascii="宋体" w:hAnsi="宋体" w:eastAsia="宋体"/>
          <w:sz w:val="24"/>
          <w:szCs w:val="24"/>
        </w:rPr>
        <w:t>，算出对应区县在功能区中的占比</w:t>
      </w:r>
      <w:r>
        <w:rPr>
          <w:rFonts w:hint="eastAsia" w:ascii="宋体" w:hAnsi="宋体" w:eastAsia="宋体"/>
          <w:sz w:val="24"/>
          <w:szCs w:val="24"/>
        </w:rPr>
        <w:t>。再</w:t>
      </w:r>
      <w:r>
        <w:rPr>
          <w:rFonts w:ascii="宋体" w:hAnsi="宋体" w:eastAsia="宋体"/>
          <w:sz w:val="24"/>
          <w:szCs w:val="24"/>
        </w:rPr>
        <w:t>用100%减去</w:t>
      </w:r>
      <w:r>
        <w:rPr>
          <w:rFonts w:hint="eastAsia" w:ascii="宋体" w:hAnsi="宋体" w:eastAsia="宋体"/>
          <w:sz w:val="24"/>
          <w:szCs w:val="24"/>
        </w:rPr>
        <w:t>功能区中已知占比区县的</w:t>
      </w:r>
      <w:r>
        <w:rPr>
          <w:rFonts w:ascii="宋体" w:hAnsi="宋体" w:eastAsia="宋体"/>
          <w:sz w:val="24"/>
          <w:szCs w:val="24"/>
        </w:rPr>
        <w:t>比例，得到2010年功能区缺失</w:t>
      </w:r>
      <w:r>
        <w:rPr>
          <w:rFonts w:hint="eastAsia" w:ascii="宋体" w:hAnsi="宋体" w:eastAsia="宋体"/>
          <w:sz w:val="24"/>
          <w:szCs w:val="24"/>
        </w:rPr>
        <w:t>乡镇街道</w:t>
      </w:r>
      <w:r>
        <w:rPr>
          <w:rFonts w:ascii="宋体" w:hAnsi="宋体" w:eastAsia="宋体"/>
          <w:sz w:val="24"/>
          <w:szCs w:val="24"/>
        </w:rPr>
        <w:t>数据的</w:t>
      </w:r>
      <w:r>
        <w:rPr>
          <w:rFonts w:hint="eastAsia" w:ascii="宋体" w:hAnsi="宋体" w:eastAsia="宋体"/>
          <w:sz w:val="24"/>
          <w:szCs w:val="24"/>
        </w:rPr>
        <w:t>区县在功能区中的占</w:t>
      </w:r>
      <w:r>
        <w:rPr>
          <w:rFonts w:ascii="宋体" w:hAnsi="宋体" w:eastAsia="宋体"/>
          <w:sz w:val="24"/>
          <w:szCs w:val="24"/>
        </w:rPr>
        <w:t>比</w:t>
      </w:r>
      <w:r>
        <w:rPr>
          <w:rFonts w:hint="eastAsia" w:ascii="宋体" w:hAnsi="宋体" w:eastAsia="宋体"/>
          <w:sz w:val="24"/>
          <w:szCs w:val="24"/>
        </w:rPr>
        <w:t>。然后按照Ⅰ的方法</w:t>
      </w:r>
      <w:r>
        <w:rPr>
          <w:rFonts w:ascii="宋体" w:hAnsi="宋体" w:eastAsia="宋体"/>
          <w:sz w:val="24"/>
          <w:szCs w:val="24"/>
        </w:rPr>
        <w:t>算出功能区涉及区县2020年</w:t>
      </w:r>
      <w:r>
        <w:rPr>
          <w:rFonts w:hint="eastAsia" w:ascii="宋体" w:hAnsi="宋体" w:eastAsia="宋体"/>
          <w:sz w:val="24"/>
          <w:szCs w:val="24"/>
        </w:rPr>
        <w:t>的</w:t>
      </w:r>
      <w:r>
        <w:rPr>
          <w:rFonts w:ascii="宋体" w:hAnsi="宋体" w:eastAsia="宋体"/>
          <w:sz w:val="24"/>
          <w:szCs w:val="24"/>
        </w:rPr>
        <w:t>数据</w:t>
      </w:r>
      <w:r>
        <w:rPr>
          <w:rFonts w:hint="eastAsia" w:ascii="宋体" w:hAnsi="宋体" w:eastAsia="宋体"/>
          <w:sz w:val="24"/>
          <w:szCs w:val="24"/>
        </w:rPr>
        <w:t>。将推算出来的数据</w:t>
      </w:r>
      <w:r>
        <w:rPr>
          <w:rFonts w:ascii="宋体" w:hAnsi="宋体" w:eastAsia="宋体"/>
          <w:sz w:val="24"/>
          <w:szCs w:val="24"/>
        </w:rPr>
        <w:t>加</w:t>
      </w:r>
      <w:r>
        <w:rPr>
          <w:rFonts w:hint="eastAsia" w:ascii="宋体" w:hAnsi="宋体" w:eastAsia="宋体"/>
          <w:sz w:val="24"/>
          <w:szCs w:val="24"/>
        </w:rPr>
        <w:t>回所属</w:t>
      </w:r>
      <w:r>
        <w:rPr>
          <w:rFonts w:ascii="宋体" w:hAnsi="宋体" w:eastAsia="宋体"/>
          <w:sz w:val="24"/>
          <w:szCs w:val="24"/>
        </w:rPr>
        <w:t>区县。例如，吉林省长春市长春新区。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Ⅲ</w:t>
      </w:r>
      <w:r>
        <w:rPr>
          <w:rFonts w:ascii="宋体" w:hAnsi="宋体" w:eastAsia="宋体"/>
          <w:sz w:val="24"/>
          <w:szCs w:val="24"/>
        </w:rPr>
        <w:t>. 假设2020功能区代管</w:t>
      </w:r>
      <w:r>
        <w:rPr>
          <w:rFonts w:hint="eastAsia" w:ascii="宋体" w:hAnsi="宋体" w:eastAsia="宋体"/>
          <w:sz w:val="24"/>
          <w:szCs w:val="24"/>
        </w:rPr>
        <w:t>的</w:t>
      </w:r>
      <w:r>
        <w:rPr>
          <w:rFonts w:ascii="宋体" w:hAnsi="宋体" w:eastAsia="宋体"/>
          <w:sz w:val="24"/>
          <w:szCs w:val="24"/>
        </w:rPr>
        <w:t>街道</w:t>
      </w:r>
      <w:r>
        <w:rPr>
          <w:rFonts w:hint="eastAsia" w:ascii="宋体" w:hAnsi="宋体" w:eastAsia="宋体"/>
          <w:sz w:val="24"/>
          <w:szCs w:val="24"/>
        </w:rPr>
        <w:t>和乡镇</w:t>
      </w:r>
      <w:r>
        <w:rPr>
          <w:rFonts w:ascii="宋体" w:hAnsi="宋体" w:eastAsia="宋体"/>
          <w:sz w:val="24"/>
          <w:szCs w:val="24"/>
        </w:rPr>
        <w:t>人口数据</w:t>
      </w:r>
      <w:r>
        <w:rPr>
          <w:rFonts w:hint="eastAsia" w:ascii="宋体" w:hAnsi="宋体" w:eastAsia="宋体"/>
          <w:sz w:val="24"/>
          <w:szCs w:val="24"/>
        </w:rPr>
        <w:t>均</w:t>
      </w:r>
      <w:r>
        <w:rPr>
          <w:rFonts w:ascii="宋体" w:hAnsi="宋体" w:eastAsia="宋体"/>
          <w:sz w:val="24"/>
          <w:szCs w:val="24"/>
        </w:rPr>
        <w:t>相等，加</w:t>
      </w:r>
      <w:r>
        <w:rPr>
          <w:rFonts w:hint="eastAsia" w:ascii="宋体" w:hAnsi="宋体" w:eastAsia="宋体"/>
          <w:sz w:val="24"/>
          <w:szCs w:val="24"/>
        </w:rPr>
        <w:t>回所属</w:t>
      </w:r>
      <w:r>
        <w:rPr>
          <w:rFonts w:ascii="宋体" w:hAnsi="宋体" w:eastAsia="宋体"/>
          <w:sz w:val="24"/>
          <w:szCs w:val="24"/>
        </w:rPr>
        <w:t>区县。例如，</w:t>
      </w:r>
      <w:r>
        <w:rPr>
          <w:rFonts w:hint="eastAsia" w:ascii="宋体" w:hAnsi="宋体" w:eastAsia="宋体"/>
          <w:sz w:val="24"/>
          <w:szCs w:val="24"/>
        </w:rPr>
        <w:t>河南省许昌市东城区</w:t>
      </w:r>
      <w:r>
        <w:rPr>
          <w:rFonts w:ascii="宋体" w:hAnsi="宋体" w:eastAsia="宋体"/>
          <w:sz w:val="24"/>
          <w:szCs w:val="24"/>
        </w:rPr>
        <w:t>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Ⅳ</w:t>
      </w:r>
      <w:r>
        <w:rPr>
          <w:rFonts w:ascii="宋体" w:hAnsi="宋体" w:eastAsia="宋体"/>
          <w:sz w:val="24"/>
          <w:szCs w:val="24"/>
        </w:rPr>
        <w:t>.</w:t>
      </w:r>
      <w:r>
        <w:rPr>
          <w:rFonts w:hint="eastAsia" w:ascii="宋体" w:hAnsi="宋体" w:eastAsia="宋体"/>
          <w:sz w:val="24"/>
          <w:szCs w:val="24"/>
        </w:rPr>
        <w:t>将</w:t>
      </w:r>
      <w:r>
        <w:rPr>
          <w:rFonts w:ascii="宋体" w:hAnsi="宋体" w:eastAsia="宋体"/>
          <w:sz w:val="24"/>
          <w:szCs w:val="24"/>
        </w:rPr>
        <w:t>地级市增长率作为功能区的增长率，推</w:t>
      </w:r>
      <w:r>
        <w:rPr>
          <w:rFonts w:hint="eastAsia" w:ascii="宋体" w:hAnsi="宋体" w:eastAsia="宋体"/>
          <w:sz w:val="24"/>
          <w:szCs w:val="24"/>
        </w:rPr>
        <w:t>算</w:t>
      </w:r>
      <w:r>
        <w:rPr>
          <w:rFonts w:ascii="宋体" w:hAnsi="宋体" w:eastAsia="宋体"/>
          <w:sz w:val="24"/>
          <w:szCs w:val="24"/>
        </w:rPr>
        <w:t>出2010年缺失的功能区数据，用这个数</w:t>
      </w:r>
      <w:r>
        <w:rPr>
          <w:rFonts w:hint="eastAsia" w:ascii="宋体" w:hAnsi="宋体" w:eastAsia="宋体"/>
          <w:sz w:val="24"/>
          <w:szCs w:val="24"/>
        </w:rPr>
        <w:t>据</w:t>
      </w:r>
      <w:r>
        <w:rPr>
          <w:rFonts w:ascii="宋体" w:hAnsi="宋体" w:eastAsia="宋体"/>
          <w:sz w:val="24"/>
          <w:szCs w:val="24"/>
        </w:rPr>
        <w:t>减去已有街道</w:t>
      </w:r>
      <w:r>
        <w:rPr>
          <w:rFonts w:hint="eastAsia" w:ascii="宋体" w:hAnsi="宋体" w:eastAsia="宋体"/>
          <w:sz w:val="24"/>
          <w:szCs w:val="24"/>
        </w:rPr>
        <w:t>和乡镇</w:t>
      </w:r>
      <w:r>
        <w:rPr>
          <w:rFonts w:ascii="宋体" w:hAnsi="宋体" w:eastAsia="宋体"/>
          <w:sz w:val="24"/>
          <w:szCs w:val="24"/>
        </w:rPr>
        <w:t>数据，所得数据平均分给</w:t>
      </w:r>
      <w:r>
        <w:rPr>
          <w:rFonts w:hint="eastAsia" w:ascii="宋体" w:hAnsi="宋体" w:eastAsia="宋体"/>
          <w:sz w:val="24"/>
          <w:szCs w:val="24"/>
        </w:rPr>
        <w:t>无</w:t>
      </w:r>
      <w:r>
        <w:rPr>
          <w:rFonts w:ascii="宋体" w:hAnsi="宋体" w:eastAsia="宋体"/>
          <w:sz w:val="24"/>
          <w:szCs w:val="24"/>
        </w:rPr>
        <w:t>数据的乡镇街道，</w:t>
      </w:r>
      <w:r>
        <w:rPr>
          <w:rFonts w:hint="eastAsia" w:ascii="宋体" w:hAnsi="宋体" w:eastAsia="宋体"/>
          <w:sz w:val="24"/>
          <w:szCs w:val="24"/>
        </w:rPr>
        <w:t>由此可以算出</w:t>
      </w:r>
      <w:r>
        <w:rPr>
          <w:rFonts w:ascii="宋体" w:hAnsi="宋体" w:eastAsia="宋体"/>
          <w:sz w:val="24"/>
          <w:szCs w:val="24"/>
        </w:rPr>
        <w:t>2010年功能区涉及区县</w:t>
      </w:r>
      <w:r>
        <w:rPr>
          <w:rFonts w:hint="eastAsia" w:ascii="宋体" w:hAnsi="宋体" w:eastAsia="宋体"/>
          <w:sz w:val="24"/>
          <w:szCs w:val="24"/>
        </w:rPr>
        <w:t>的人口</w:t>
      </w:r>
      <w:r>
        <w:rPr>
          <w:rFonts w:ascii="宋体" w:hAnsi="宋体" w:eastAsia="宋体"/>
          <w:sz w:val="24"/>
          <w:szCs w:val="24"/>
        </w:rPr>
        <w:t>比例</w:t>
      </w:r>
      <w:r>
        <w:rPr>
          <w:rFonts w:hint="eastAsia" w:ascii="宋体" w:hAnsi="宋体" w:eastAsia="宋体"/>
          <w:sz w:val="24"/>
          <w:szCs w:val="24"/>
        </w:rPr>
        <w:t>。</w:t>
      </w:r>
      <w:r>
        <w:rPr>
          <w:rFonts w:ascii="宋体" w:hAnsi="宋体" w:eastAsia="宋体"/>
          <w:sz w:val="24"/>
          <w:szCs w:val="24"/>
        </w:rPr>
        <w:t>按各区县的2010年与2020年比例相同，推算2020年数据，加</w:t>
      </w:r>
      <w:r>
        <w:rPr>
          <w:rFonts w:hint="eastAsia" w:ascii="宋体" w:hAnsi="宋体" w:eastAsia="宋体"/>
          <w:sz w:val="24"/>
          <w:szCs w:val="24"/>
        </w:rPr>
        <w:t>回</w:t>
      </w:r>
      <w:r>
        <w:rPr>
          <w:rFonts w:ascii="宋体" w:hAnsi="宋体" w:eastAsia="宋体"/>
          <w:sz w:val="24"/>
          <w:szCs w:val="24"/>
        </w:rPr>
        <w:t>2020年的</w:t>
      </w:r>
      <w:r>
        <w:rPr>
          <w:rFonts w:hint="eastAsia" w:ascii="宋体" w:hAnsi="宋体" w:eastAsia="宋体"/>
          <w:sz w:val="24"/>
          <w:szCs w:val="24"/>
        </w:rPr>
        <w:t>所属</w:t>
      </w:r>
      <w:r>
        <w:rPr>
          <w:rFonts w:ascii="宋体" w:hAnsi="宋体" w:eastAsia="宋体"/>
          <w:sz w:val="24"/>
          <w:szCs w:val="24"/>
        </w:rPr>
        <w:t>区县。例如，江</w:t>
      </w:r>
      <w:r>
        <w:rPr>
          <w:rFonts w:hint="eastAsia" w:ascii="宋体" w:hAnsi="宋体" w:eastAsia="宋体"/>
          <w:sz w:val="24"/>
          <w:szCs w:val="24"/>
        </w:rPr>
        <w:t>苏</w:t>
      </w:r>
      <w:r>
        <w:rPr>
          <w:rFonts w:ascii="宋体" w:hAnsi="宋体" w:eastAsia="宋体"/>
          <w:sz w:val="24"/>
          <w:szCs w:val="24"/>
        </w:rPr>
        <w:t>省淮安市经开区。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Ⅴ</w:t>
      </w:r>
      <w:r>
        <w:rPr>
          <w:rFonts w:ascii="宋体" w:hAnsi="宋体" w:eastAsia="宋体"/>
          <w:sz w:val="24"/>
          <w:szCs w:val="24"/>
        </w:rPr>
        <w:t xml:space="preserve">. </w:t>
      </w:r>
      <w:r>
        <w:rPr>
          <w:rFonts w:hint="eastAsia" w:ascii="宋体" w:hAnsi="宋体" w:eastAsia="宋体"/>
          <w:sz w:val="24"/>
          <w:szCs w:val="24"/>
        </w:rPr>
        <w:t>用</w:t>
      </w:r>
      <w:r>
        <w:rPr>
          <w:rFonts w:ascii="宋体" w:hAnsi="宋体" w:eastAsia="宋体"/>
          <w:sz w:val="24"/>
          <w:szCs w:val="24"/>
        </w:rPr>
        <w:t>地级市增长率倒推2010年功能区数据</w:t>
      </w:r>
      <w:r>
        <w:rPr>
          <w:rFonts w:hint="eastAsia" w:ascii="宋体" w:hAnsi="宋体" w:eastAsia="宋体"/>
          <w:sz w:val="24"/>
          <w:szCs w:val="24"/>
        </w:rPr>
        <w:t>（同Ⅳ）</w:t>
      </w:r>
      <w:r>
        <w:rPr>
          <w:rFonts w:ascii="宋体" w:hAnsi="宋体" w:eastAsia="宋体"/>
          <w:sz w:val="24"/>
          <w:szCs w:val="24"/>
        </w:rPr>
        <w:t>，算出功能区涉及区县</w:t>
      </w:r>
      <w:r>
        <w:rPr>
          <w:rFonts w:hint="eastAsia" w:ascii="宋体" w:hAnsi="宋体" w:eastAsia="宋体"/>
          <w:sz w:val="24"/>
          <w:szCs w:val="24"/>
        </w:rPr>
        <w:t>（已知乡镇街道数据）</w:t>
      </w:r>
      <w:r>
        <w:rPr>
          <w:rFonts w:ascii="宋体" w:hAnsi="宋体" w:eastAsia="宋体"/>
          <w:sz w:val="24"/>
          <w:szCs w:val="24"/>
        </w:rPr>
        <w:t>占比，用100%减去这个比例，得到涉及区县</w:t>
      </w:r>
      <w:r>
        <w:rPr>
          <w:rFonts w:hint="eastAsia" w:ascii="宋体" w:hAnsi="宋体" w:eastAsia="宋体"/>
          <w:sz w:val="24"/>
          <w:szCs w:val="24"/>
        </w:rPr>
        <w:t>（未知乡镇街道数据）</w:t>
      </w:r>
      <w:r>
        <w:rPr>
          <w:rFonts w:ascii="宋体" w:hAnsi="宋体" w:eastAsia="宋体"/>
          <w:sz w:val="24"/>
          <w:szCs w:val="24"/>
        </w:rPr>
        <w:t>占比</w:t>
      </w:r>
      <w:r>
        <w:rPr>
          <w:rFonts w:hint="eastAsia" w:ascii="宋体" w:hAnsi="宋体" w:eastAsia="宋体"/>
          <w:sz w:val="24"/>
          <w:szCs w:val="24"/>
        </w:rPr>
        <w:t>。</w:t>
      </w:r>
      <w:r>
        <w:rPr>
          <w:rFonts w:ascii="宋体" w:hAnsi="宋体" w:eastAsia="宋体"/>
          <w:sz w:val="24"/>
          <w:szCs w:val="24"/>
        </w:rPr>
        <w:t>用各区县对应比例算出2020年涉及区县数据</w:t>
      </w:r>
      <w:r>
        <w:rPr>
          <w:rFonts w:hint="eastAsia" w:ascii="宋体" w:hAnsi="宋体" w:eastAsia="宋体"/>
          <w:sz w:val="24"/>
          <w:szCs w:val="24"/>
        </w:rPr>
        <w:t>（同Ⅳ）</w:t>
      </w:r>
      <w:r>
        <w:rPr>
          <w:rFonts w:ascii="宋体" w:hAnsi="宋体" w:eastAsia="宋体"/>
          <w:sz w:val="24"/>
          <w:szCs w:val="24"/>
        </w:rPr>
        <w:t>，加</w:t>
      </w:r>
      <w:r>
        <w:rPr>
          <w:rFonts w:hint="eastAsia" w:ascii="宋体" w:hAnsi="宋体" w:eastAsia="宋体"/>
          <w:sz w:val="24"/>
          <w:szCs w:val="24"/>
        </w:rPr>
        <w:t>回</w:t>
      </w:r>
      <w:r>
        <w:rPr>
          <w:rFonts w:ascii="宋体" w:hAnsi="宋体" w:eastAsia="宋体"/>
          <w:sz w:val="24"/>
          <w:szCs w:val="24"/>
        </w:rPr>
        <w:t>2020年</w:t>
      </w:r>
      <w:r>
        <w:rPr>
          <w:rFonts w:hint="eastAsia" w:ascii="宋体" w:hAnsi="宋体" w:eastAsia="宋体"/>
          <w:sz w:val="24"/>
          <w:szCs w:val="24"/>
        </w:rPr>
        <w:t>所属</w:t>
      </w:r>
      <w:r>
        <w:rPr>
          <w:rFonts w:ascii="宋体" w:hAnsi="宋体" w:eastAsia="宋体"/>
          <w:sz w:val="24"/>
          <w:szCs w:val="24"/>
        </w:rPr>
        <w:t>区县。例如，河南省郑州市经济技术开发区。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依据以上标准，我们计算出了各个城市和区县可比口径的2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年人口数量和2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年人口数量，以及人口增长量（2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人口-</w:t>
      </w:r>
      <w:r>
        <w:rPr>
          <w:rFonts w:ascii="宋体" w:hAnsi="宋体" w:eastAsia="宋体"/>
          <w:sz w:val="24"/>
          <w:szCs w:val="24"/>
        </w:rPr>
        <w:t>2010</w:t>
      </w:r>
      <w:r>
        <w:rPr>
          <w:rFonts w:hint="eastAsia" w:ascii="宋体" w:hAnsi="宋体" w:eastAsia="宋体"/>
          <w:sz w:val="24"/>
          <w:szCs w:val="24"/>
        </w:rPr>
        <w:t>人口）和人口增长率（(</w:t>
      </w:r>
      <w:r>
        <w:rPr>
          <w:rFonts w:ascii="宋体" w:hAnsi="宋体" w:eastAsia="宋体"/>
          <w:sz w:val="24"/>
          <w:szCs w:val="24"/>
        </w:rPr>
        <w:t>2020</w:t>
      </w:r>
      <w:r>
        <w:rPr>
          <w:rFonts w:hint="eastAsia" w:ascii="宋体" w:hAnsi="宋体" w:eastAsia="宋体"/>
          <w:sz w:val="24"/>
          <w:szCs w:val="24"/>
        </w:rPr>
        <w:t>人口-</w:t>
      </w:r>
      <w:r>
        <w:rPr>
          <w:rFonts w:ascii="宋体" w:hAnsi="宋体" w:eastAsia="宋体"/>
          <w:sz w:val="24"/>
          <w:szCs w:val="24"/>
        </w:rPr>
        <w:t>2010</w:t>
      </w:r>
      <w:r>
        <w:rPr>
          <w:rFonts w:hint="eastAsia" w:ascii="宋体" w:hAnsi="宋体" w:eastAsia="宋体"/>
          <w:sz w:val="24"/>
          <w:szCs w:val="24"/>
        </w:rPr>
        <w:t>人口</w:t>
      </w:r>
      <w:r>
        <w:rPr>
          <w:rFonts w:ascii="宋体" w:hAnsi="宋体" w:eastAsia="宋体"/>
          <w:sz w:val="24"/>
          <w:szCs w:val="24"/>
        </w:rPr>
        <w:t>)/2010</w:t>
      </w:r>
      <w:r>
        <w:rPr>
          <w:rFonts w:hint="eastAsia" w:ascii="宋体" w:hAnsi="宋体" w:eastAsia="宋体"/>
          <w:sz w:val="24"/>
          <w:szCs w:val="24"/>
        </w:rPr>
        <w:t>人口）。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</w:p>
    <w:p>
      <w:pPr>
        <w:widowControl/>
        <w:spacing w:line="300" w:lineRule="auto"/>
        <w:ind w:firstLine="482" w:firstLineChars="200"/>
        <w:jc w:val="left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“七普”相比于“六普”各城市和区县的人口变动</w:t>
      </w:r>
    </w:p>
    <w:p>
      <w:pPr>
        <w:widowControl/>
        <w:spacing w:line="300" w:lineRule="auto"/>
        <w:ind w:firstLine="480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以下是可比口径的地级市和区县，“七普”（2</w:t>
      </w:r>
      <w:r>
        <w:rPr>
          <w:rFonts w:ascii="宋体" w:hAnsi="宋体" w:eastAsia="宋体"/>
          <w:sz w:val="24"/>
          <w:szCs w:val="24"/>
        </w:rPr>
        <w:t>020</w:t>
      </w:r>
      <w:r>
        <w:rPr>
          <w:rFonts w:hint="eastAsia" w:ascii="宋体" w:hAnsi="宋体" w:eastAsia="宋体"/>
          <w:sz w:val="24"/>
          <w:szCs w:val="24"/>
        </w:rPr>
        <w:t>）</w:t>
      </w:r>
      <w:r>
        <w:rPr>
          <w:rFonts w:ascii="宋体" w:hAnsi="宋体" w:eastAsia="宋体"/>
          <w:sz w:val="24"/>
          <w:szCs w:val="24"/>
        </w:rPr>
        <w:t>相比于</w:t>
      </w:r>
      <w:r>
        <w:rPr>
          <w:rFonts w:hint="eastAsia" w:ascii="宋体" w:hAnsi="宋体" w:eastAsia="宋体"/>
          <w:sz w:val="24"/>
          <w:szCs w:val="24"/>
        </w:rPr>
        <w:t>“六普”（2</w:t>
      </w:r>
      <w:r>
        <w:rPr>
          <w:rFonts w:ascii="宋体" w:hAnsi="宋体" w:eastAsia="宋体"/>
          <w:sz w:val="24"/>
          <w:szCs w:val="24"/>
        </w:rPr>
        <w:t>010</w:t>
      </w:r>
      <w:r>
        <w:rPr>
          <w:rFonts w:hint="eastAsia" w:ascii="宋体" w:hAnsi="宋体" w:eastAsia="宋体"/>
          <w:sz w:val="24"/>
          <w:szCs w:val="24"/>
        </w:rPr>
        <w:t>）</w:t>
      </w:r>
      <w:r>
        <w:rPr>
          <w:rFonts w:ascii="宋体" w:hAnsi="宋体" w:eastAsia="宋体"/>
          <w:sz w:val="24"/>
          <w:szCs w:val="24"/>
        </w:rPr>
        <w:t>的人口增长</w:t>
      </w:r>
      <w:r>
        <w:rPr>
          <w:rFonts w:hint="eastAsia" w:ascii="宋体" w:hAnsi="宋体" w:eastAsia="宋体"/>
          <w:sz w:val="24"/>
          <w:szCs w:val="24"/>
        </w:rPr>
        <w:t>量和增长率</w:t>
      </w:r>
      <w:r>
        <w:rPr>
          <w:rFonts w:ascii="宋体" w:hAnsi="宋体" w:eastAsia="宋体"/>
          <w:sz w:val="24"/>
          <w:szCs w:val="24"/>
        </w:rPr>
        <w:t>，基于2019年底的行政区划底图所做。</w:t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4"/>
          <w:szCs w:val="24"/>
        </w:rPr>
      </w:pPr>
      <w:r>
        <w:drawing>
          <wp:inline distT="0" distB="0" distL="0" distR="0">
            <wp:extent cx="4895850" cy="410908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6000" cy="4109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2"/>
        </w:rPr>
      </w:pPr>
      <w:r>
        <w:rPr>
          <w:rFonts w:hint="eastAsia" w:ascii="宋体" w:hAnsi="宋体" w:eastAsia="宋体"/>
          <w:color w:val="000000" w:themeColor="text1"/>
          <w:sz w:val="22"/>
        </w:rPr>
        <w:t>图</w:t>
      </w:r>
      <w:r>
        <w:rPr>
          <w:rFonts w:ascii="宋体" w:hAnsi="宋体" w:eastAsia="宋体"/>
          <w:color w:val="000000" w:themeColor="text1"/>
          <w:sz w:val="22"/>
        </w:rPr>
        <w:t>1</w:t>
      </w:r>
      <w:r>
        <w:rPr>
          <w:rFonts w:hint="eastAsia" w:ascii="宋体" w:hAnsi="宋体" w:eastAsia="宋体"/>
          <w:color w:val="000000" w:themeColor="text1"/>
          <w:sz w:val="22"/>
        </w:rPr>
        <w:t xml:space="preserve"> 2</w:t>
      </w:r>
      <w:r>
        <w:rPr>
          <w:rFonts w:ascii="宋体" w:hAnsi="宋体" w:eastAsia="宋体"/>
          <w:color w:val="000000" w:themeColor="text1"/>
          <w:sz w:val="22"/>
        </w:rPr>
        <w:t>020</w:t>
      </w:r>
      <w:r>
        <w:rPr>
          <w:rFonts w:hint="eastAsia" w:ascii="宋体" w:hAnsi="宋体" w:eastAsia="宋体"/>
          <w:color w:val="000000" w:themeColor="text1"/>
          <w:sz w:val="22"/>
        </w:rPr>
        <w:t>年“七普”相比于2</w:t>
      </w:r>
      <w:r>
        <w:rPr>
          <w:rFonts w:ascii="宋体" w:hAnsi="宋体" w:eastAsia="宋体"/>
          <w:color w:val="000000" w:themeColor="text1"/>
          <w:sz w:val="22"/>
        </w:rPr>
        <w:t>010</w:t>
      </w:r>
      <w:r>
        <w:rPr>
          <w:rFonts w:hint="eastAsia" w:ascii="宋体" w:hAnsi="宋体" w:eastAsia="宋体"/>
          <w:color w:val="000000" w:themeColor="text1"/>
          <w:sz w:val="22"/>
        </w:rPr>
        <w:t>年“六普”城市级人口增长量</w:t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2"/>
        </w:rPr>
      </w:pPr>
      <w:r>
        <w:drawing>
          <wp:inline distT="0" distB="0" distL="0" distR="0">
            <wp:extent cx="4895850" cy="410908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6000" cy="4109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2"/>
        </w:rPr>
      </w:pPr>
      <w:r>
        <w:rPr>
          <w:rFonts w:hint="eastAsia" w:ascii="宋体" w:hAnsi="宋体" w:eastAsia="宋体"/>
          <w:color w:val="000000" w:themeColor="text1"/>
          <w:sz w:val="22"/>
        </w:rPr>
        <w:t>图</w:t>
      </w:r>
      <w:r>
        <w:rPr>
          <w:rFonts w:ascii="宋体" w:hAnsi="宋体" w:eastAsia="宋体"/>
          <w:color w:val="000000" w:themeColor="text1"/>
          <w:sz w:val="22"/>
        </w:rPr>
        <w:t>2</w:t>
      </w:r>
      <w:r>
        <w:rPr>
          <w:rFonts w:hint="eastAsia" w:ascii="宋体" w:hAnsi="宋体" w:eastAsia="宋体"/>
          <w:color w:val="000000" w:themeColor="text1"/>
          <w:sz w:val="22"/>
        </w:rPr>
        <w:t xml:space="preserve"> 2</w:t>
      </w:r>
      <w:r>
        <w:rPr>
          <w:rFonts w:ascii="宋体" w:hAnsi="宋体" w:eastAsia="宋体"/>
          <w:color w:val="000000" w:themeColor="text1"/>
          <w:sz w:val="22"/>
        </w:rPr>
        <w:t>020</w:t>
      </w:r>
      <w:r>
        <w:rPr>
          <w:rFonts w:hint="eastAsia" w:ascii="宋体" w:hAnsi="宋体" w:eastAsia="宋体"/>
          <w:color w:val="000000" w:themeColor="text1"/>
          <w:sz w:val="22"/>
        </w:rPr>
        <w:t>年“七普”相比于2</w:t>
      </w:r>
      <w:r>
        <w:rPr>
          <w:rFonts w:ascii="宋体" w:hAnsi="宋体" w:eastAsia="宋体"/>
          <w:color w:val="000000" w:themeColor="text1"/>
          <w:sz w:val="22"/>
        </w:rPr>
        <w:t>010</w:t>
      </w:r>
      <w:r>
        <w:rPr>
          <w:rFonts w:hint="eastAsia" w:ascii="宋体" w:hAnsi="宋体" w:eastAsia="宋体"/>
          <w:color w:val="000000" w:themeColor="text1"/>
          <w:sz w:val="22"/>
        </w:rPr>
        <w:t>年“六普”城市级人口增长率</w:t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2"/>
        </w:rPr>
      </w:pPr>
      <w:r>
        <w:drawing>
          <wp:inline distT="0" distB="0" distL="0" distR="0">
            <wp:extent cx="4895850" cy="410908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6000" cy="4109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2"/>
        </w:rPr>
      </w:pPr>
      <w:r>
        <w:rPr>
          <w:rFonts w:hint="eastAsia" w:ascii="宋体" w:hAnsi="宋体" w:eastAsia="宋体"/>
          <w:color w:val="000000" w:themeColor="text1"/>
          <w:sz w:val="22"/>
        </w:rPr>
        <w:t>图3 2</w:t>
      </w:r>
      <w:r>
        <w:rPr>
          <w:rFonts w:ascii="宋体" w:hAnsi="宋体" w:eastAsia="宋体"/>
          <w:color w:val="000000" w:themeColor="text1"/>
          <w:sz w:val="22"/>
        </w:rPr>
        <w:t>020</w:t>
      </w:r>
      <w:r>
        <w:rPr>
          <w:rFonts w:hint="eastAsia" w:ascii="宋体" w:hAnsi="宋体" w:eastAsia="宋体"/>
          <w:color w:val="000000" w:themeColor="text1"/>
          <w:sz w:val="22"/>
        </w:rPr>
        <w:t>年“七普”相比于2</w:t>
      </w:r>
      <w:r>
        <w:rPr>
          <w:rFonts w:ascii="宋体" w:hAnsi="宋体" w:eastAsia="宋体"/>
          <w:color w:val="000000" w:themeColor="text1"/>
          <w:sz w:val="22"/>
        </w:rPr>
        <w:t>010</w:t>
      </w:r>
      <w:r>
        <w:rPr>
          <w:rFonts w:hint="eastAsia" w:ascii="宋体" w:hAnsi="宋体" w:eastAsia="宋体"/>
          <w:color w:val="000000" w:themeColor="text1"/>
          <w:sz w:val="22"/>
        </w:rPr>
        <w:t>年“六普”区县级人口增长量</w:t>
      </w:r>
    </w:p>
    <w:p>
      <w:pPr>
        <w:widowControl/>
        <w:spacing w:line="300" w:lineRule="auto"/>
        <w:jc w:val="center"/>
        <w:rPr>
          <w:rFonts w:ascii="宋体" w:hAnsi="宋体" w:eastAsia="宋体"/>
          <w:color w:val="000000" w:themeColor="text1"/>
          <w:sz w:val="22"/>
        </w:rPr>
      </w:pPr>
      <w:r>
        <w:drawing>
          <wp:inline distT="0" distB="0" distL="0" distR="0">
            <wp:extent cx="4895850" cy="4109085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6000" cy="4109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00" w:lineRule="auto"/>
        <w:jc w:val="center"/>
        <w:rPr>
          <w:rFonts w:ascii="宋体" w:hAnsi="宋体" w:eastAsia="宋体"/>
          <w:color w:val="FF0000"/>
          <w:sz w:val="24"/>
          <w:szCs w:val="24"/>
        </w:rPr>
      </w:pPr>
      <w:r>
        <w:rPr>
          <w:rFonts w:hint="eastAsia" w:ascii="宋体" w:hAnsi="宋体" w:eastAsia="宋体"/>
          <w:color w:val="000000" w:themeColor="text1"/>
          <w:sz w:val="22"/>
        </w:rPr>
        <w:t>图</w:t>
      </w:r>
      <w:r>
        <w:rPr>
          <w:rFonts w:ascii="宋体" w:hAnsi="宋体" w:eastAsia="宋体"/>
          <w:color w:val="000000" w:themeColor="text1"/>
          <w:sz w:val="22"/>
        </w:rPr>
        <w:t>4</w:t>
      </w:r>
      <w:r>
        <w:rPr>
          <w:rFonts w:hint="eastAsia" w:ascii="宋体" w:hAnsi="宋体" w:eastAsia="宋体"/>
          <w:color w:val="000000" w:themeColor="text1"/>
          <w:sz w:val="22"/>
        </w:rPr>
        <w:t xml:space="preserve"> 2</w:t>
      </w:r>
      <w:r>
        <w:rPr>
          <w:rFonts w:ascii="宋体" w:hAnsi="宋体" w:eastAsia="宋体"/>
          <w:color w:val="000000" w:themeColor="text1"/>
          <w:sz w:val="22"/>
        </w:rPr>
        <w:t>020</w:t>
      </w:r>
      <w:r>
        <w:rPr>
          <w:rFonts w:hint="eastAsia" w:ascii="宋体" w:hAnsi="宋体" w:eastAsia="宋体"/>
          <w:color w:val="000000" w:themeColor="text1"/>
          <w:sz w:val="22"/>
        </w:rPr>
        <w:t>年“七普”相比于2</w:t>
      </w:r>
      <w:r>
        <w:rPr>
          <w:rFonts w:ascii="宋体" w:hAnsi="宋体" w:eastAsia="宋体"/>
          <w:color w:val="000000" w:themeColor="text1"/>
          <w:sz w:val="22"/>
        </w:rPr>
        <w:t>010</w:t>
      </w:r>
      <w:r>
        <w:rPr>
          <w:rFonts w:hint="eastAsia" w:ascii="宋体" w:hAnsi="宋体" w:eastAsia="宋体"/>
          <w:color w:val="000000" w:themeColor="text1"/>
          <w:sz w:val="22"/>
        </w:rPr>
        <w:t>年“六普”县级人口增长率</w:t>
      </w:r>
    </w:p>
    <w:p>
      <w:pPr>
        <w:spacing w:line="30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人口进一步集中的趋势明显</w:t>
      </w:r>
    </w:p>
    <w:p>
      <w:pPr>
        <w:spacing w:line="30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从图中可以看到：</w:t>
      </w:r>
    </w:p>
    <w:p>
      <w:pPr>
        <w:spacing w:line="30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第一，人口集中趋势加强，主要流向沿海和中心城市。</w:t>
      </w:r>
    </w:p>
    <w:p>
      <w:pPr>
        <w:spacing w:line="30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传统的人口流入地，比如沿海南部地区、国家中心城市和省会城市、区域中心城市，也是这十年人口增长最快的地区；而东北和中西部的非中心城市，人口流出明显。值得一提的是，粤东北地区的一些城市、长三角城市群西部的一些城市，人口依然是流出的，虽然长三角和珠三角是这十年人口流入最多的地区。</w:t>
      </w:r>
    </w:p>
    <w:p>
      <w:pPr>
        <w:spacing w:line="30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第二，人口向中心城区集中。</w:t>
      </w:r>
    </w:p>
    <w:p>
      <w:pPr>
        <w:spacing w:line="30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从图3和图4可以看到，人口流入地的中心城区，人口增长量和增长率都高于外围地区。如果将图3和图4放大，我们甚至可以看到很多人口流出城市的中心城区，人口明显增长；而一些人口流入城市的外围区县，人口反而是负增长的，典型的如华北地区和粤北地区。说明人口向着中心城区集中。</w:t>
      </w:r>
    </w:p>
    <w:p>
      <w:pPr>
        <w:spacing w:line="30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第三，中心城市的外围地区人口流入趋势相对明显。</w:t>
      </w:r>
    </w:p>
    <w:p>
      <w:pPr>
        <w:spacing w:line="30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从4张图中都可以看到，橙色和黄色人口流入但数量和比例相对少的区域，主要还是集中在深红色的大城市附近。</w:t>
      </w:r>
    </w:p>
    <w:p>
      <w:pPr>
        <w:spacing w:line="300" w:lineRule="auto"/>
        <w:ind w:firstLine="480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总体而言，沿海地区和大城市出现人口进一步集中的趋势，说明这个客观规律非常强。</w:t>
      </w:r>
    </w:p>
    <w:p>
      <w:pPr>
        <w:spacing w:line="30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（本文作者感谢陆铭、孙聪、彭冲、钱骏杰、吴思栩、张莉等人的指导和支持。）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AF6"/>
    <w:rsid w:val="00000D91"/>
    <w:rsid w:val="00002584"/>
    <w:rsid w:val="00004782"/>
    <w:rsid w:val="00025F03"/>
    <w:rsid w:val="00030962"/>
    <w:rsid w:val="00031E81"/>
    <w:rsid w:val="000522D9"/>
    <w:rsid w:val="0005771A"/>
    <w:rsid w:val="00060EB0"/>
    <w:rsid w:val="00061573"/>
    <w:rsid w:val="0007519A"/>
    <w:rsid w:val="00080C69"/>
    <w:rsid w:val="000810D7"/>
    <w:rsid w:val="000929EE"/>
    <w:rsid w:val="00092D32"/>
    <w:rsid w:val="000A21BA"/>
    <w:rsid w:val="000A3F00"/>
    <w:rsid w:val="000A3F5A"/>
    <w:rsid w:val="000B6782"/>
    <w:rsid w:val="000B7587"/>
    <w:rsid w:val="000D76A3"/>
    <w:rsid w:val="001035C9"/>
    <w:rsid w:val="001139BF"/>
    <w:rsid w:val="00131DC6"/>
    <w:rsid w:val="00132966"/>
    <w:rsid w:val="00132CFF"/>
    <w:rsid w:val="0014049E"/>
    <w:rsid w:val="001A0EBE"/>
    <w:rsid w:val="001A59B6"/>
    <w:rsid w:val="001B33CE"/>
    <w:rsid w:val="001C1C4C"/>
    <w:rsid w:val="001C37F5"/>
    <w:rsid w:val="001C77CC"/>
    <w:rsid w:val="001D39B8"/>
    <w:rsid w:val="001E681E"/>
    <w:rsid w:val="001F2D13"/>
    <w:rsid w:val="002000C3"/>
    <w:rsid w:val="00200575"/>
    <w:rsid w:val="00204D63"/>
    <w:rsid w:val="00215B6A"/>
    <w:rsid w:val="0024498A"/>
    <w:rsid w:val="00255068"/>
    <w:rsid w:val="00271DF8"/>
    <w:rsid w:val="002808CB"/>
    <w:rsid w:val="00281179"/>
    <w:rsid w:val="00293EAF"/>
    <w:rsid w:val="002A4E12"/>
    <w:rsid w:val="002E5717"/>
    <w:rsid w:val="00320AD5"/>
    <w:rsid w:val="00360803"/>
    <w:rsid w:val="00365AF9"/>
    <w:rsid w:val="003714C3"/>
    <w:rsid w:val="003A1811"/>
    <w:rsid w:val="003A723A"/>
    <w:rsid w:val="003C751A"/>
    <w:rsid w:val="00405D8C"/>
    <w:rsid w:val="004119FB"/>
    <w:rsid w:val="00426DE3"/>
    <w:rsid w:val="00430E5C"/>
    <w:rsid w:val="0043644E"/>
    <w:rsid w:val="00466BBC"/>
    <w:rsid w:val="00476AF6"/>
    <w:rsid w:val="00485859"/>
    <w:rsid w:val="00497B63"/>
    <w:rsid w:val="004C1F0A"/>
    <w:rsid w:val="004D06B1"/>
    <w:rsid w:val="004D2718"/>
    <w:rsid w:val="004F35F0"/>
    <w:rsid w:val="004F6FA7"/>
    <w:rsid w:val="00502954"/>
    <w:rsid w:val="00521370"/>
    <w:rsid w:val="00535249"/>
    <w:rsid w:val="005373C7"/>
    <w:rsid w:val="005459A9"/>
    <w:rsid w:val="00590148"/>
    <w:rsid w:val="005A1628"/>
    <w:rsid w:val="005B62A6"/>
    <w:rsid w:val="005D5702"/>
    <w:rsid w:val="005E1941"/>
    <w:rsid w:val="005E7CD3"/>
    <w:rsid w:val="00616EBE"/>
    <w:rsid w:val="00634EFA"/>
    <w:rsid w:val="00640704"/>
    <w:rsid w:val="006468BB"/>
    <w:rsid w:val="00674634"/>
    <w:rsid w:val="006A02C2"/>
    <w:rsid w:val="006B5C4B"/>
    <w:rsid w:val="006D391C"/>
    <w:rsid w:val="006D5F6B"/>
    <w:rsid w:val="006F38DC"/>
    <w:rsid w:val="00701089"/>
    <w:rsid w:val="0071489E"/>
    <w:rsid w:val="00756F97"/>
    <w:rsid w:val="00770A84"/>
    <w:rsid w:val="007724B8"/>
    <w:rsid w:val="00785066"/>
    <w:rsid w:val="00794410"/>
    <w:rsid w:val="007E1C75"/>
    <w:rsid w:val="007E6E2B"/>
    <w:rsid w:val="007F5D12"/>
    <w:rsid w:val="00805130"/>
    <w:rsid w:val="0082262A"/>
    <w:rsid w:val="00823680"/>
    <w:rsid w:val="00823E3B"/>
    <w:rsid w:val="008406ED"/>
    <w:rsid w:val="0084171B"/>
    <w:rsid w:val="00845D68"/>
    <w:rsid w:val="008921B8"/>
    <w:rsid w:val="008A40B1"/>
    <w:rsid w:val="008B1D52"/>
    <w:rsid w:val="008B5A0F"/>
    <w:rsid w:val="008B6253"/>
    <w:rsid w:val="0090251F"/>
    <w:rsid w:val="009269C8"/>
    <w:rsid w:val="00927A42"/>
    <w:rsid w:val="00937FCE"/>
    <w:rsid w:val="00943167"/>
    <w:rsid w:val="00960700"/>
    <w:rsid w:val="009873FF"/>
    <w:rsid w:val="00997EE9"/>
    <w:rsid w:val="009C334E"/>
    <w:rsid w:val="009C35D9"/>
    <w:rsid w:val="009D3454"/>
    <w:rsid w:val="009E48DF"/>
    <w:rsid w:val="009E7D71"/>
    <w:rsid w:val="009F4782"/>
    <w:rsid w:val="00A00FD3"/>
    <w:rsid w:val="00A05517"/>
    <w:rsid w:val="00A06BEB"/>
    <w:rsid w:val="00A16AAB"/>
    <w:rsid w:val="00A279E6"/>
    <w:rsid w:val="00A63BDB"/>
    <w:rsid w:val="00A651DA"/>
    <w:rsid w:val="00A848C4"/>
    <w:rsid w:val="00A86787"/>
    <w:rsid w:val="00A91790"/>
    <w:rsid w:val="00AA2078"/>
    <w:rsid w:val="00AC418E"/>
    <w:rsid w:val="00AE0C24"/>
    <w:rsid w:val="00AE2AFF"/>
    <w:rsid w:val="00AF692F"/>
    <w:rsid w:val="00B02A86"/>
    <w:rsid w:val="00B24957"/>
    <w:rsid w:val="00B34DC6"/>
    <w:rsid w:val="00B405F0"/>
    <w:rsid w:val="00B42115"/>
    <w:rsid w:val="00B61ECB"/>
    <w:rsid w:val="00B637F6"/>
    <w:rsid w:val="00B705B3"/>
    <w:rsid w:val="00B706D4"/>
    <w:rsid w:val="00B74002"/>
    <w:rsid w:val="00BA09D7"/>
    <w:rsid w:val="00BA5177"/>
    <w:rsid w:val="00BA6225"/>
    <w:rsid w:val="00BD4DB4"/>
    <w:rsid w:val="00BE686D"/>
    <w:rsid w:val="00BF2EA3"/>
    <w:rsid w:val="00C00308"/>
    <w:rsid w:val="00C2190A"/>
    <w:rsid w:val="00C42A5B"/>
    <w:rsid w:val="00C43202"/>
    <w:rsid w:val="00C44013"/>
    <w:rsid w:val="00C63F89"/>
    <w:rsid w:val="00C82B25"/>
    <w:rsid w:val="00CA1DD1"/>
    <w:rsid w:val="00CA35A5"/>
    <w:rsid w:val="00CA5D30"/>
    <w:rsid w:val="00CE65FC"/>
    <w:rsid w:val="00CE6790"/>
    <w:rsid w:val="00CF20FB"/>
    <w:rsid w:val="00D011C7"/>
    <w:rsid w:val="00D078B0"/>
    <w:rsid w:val="00D121C1"/>
    <w:rsid w:val="00D21A4F"/>
    <w:rsid w:val="00D25CA4"/>
    <w:rsid w:val="00D51B88"/>
    <w:rsid w:val="00D5336E"/>
    <w:rsid w:val="00D615CF"/>
    <w:rsid w:val="00DC3C86"/>
    <w:rsid w:val="00DD00A7"/>
    <w:rsid w:val="00DD3D4F"/>
    <w:rsid w:val="00DF1DE0"/>
    <w:rsid w:val="00DF29C5"/>
    <w:rsid w:val="00DF3A4F"/>
    <w:rsid w:val="00DF6132"/>
    <w:rsid w:val="00E046FD"/>
    <w:rsid w:val="00E05F69"/>
    <w:rsid w:val="00E133D8"/>
    <w:rsid w:val="00E20950"/>
    <w:rsid w:val="00E341E1"/>
    <w:rsid w:val="00E35BBD"/>
    <w:rsid w:val="00E409E6"/>
    <w:rsid w:val="00E5388B"/>
    <w:rsid w:val="00E57372"/>
    <w:rsid w:val="00E72668"/>
    <w:rsid w:val="00E75855"/>
    <w:rsid w:val="00EA1B1F"/>
    <w:rsid w:val="00EB5F9A"/>
    <w:rsid w:val="00EC6200"/>
    <w:rsid w:val="00EE2106"/>
    <w:rsid w:val="00F03116"/>
    <w:rsid w:val="00F14767"/>
    <w:rsid w:val="00F27E56"/>
    <w:rsid w:val="00F3364E"/>
    <w:rsid w:val="00F5399D"/>
    <w:rsid w:val="00F608F2"/>
    <w:rsid w:val="00F63C85"/>
    <w:rsid w:val="00F73359"/>
    <w:rsid w:val="00FA4A95"/>
    <w:rsid w:val="00FC30B7"/>
    <w:rsid w:val="00FE05E1"/>
    <w:rsid w:val="00FE5160"/>
    <w:rsid w:val="00FF786E"/>
    <w:rsid w:val="AAFEB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2"/>
    <w:unhideWhenUsed/>
    <w:qFormat/>
    <w:uiPriority w:val="99"/>
    <w:rPr>
      <w:b/>
      <w:bCs/>
    </w:rPr>
  </w:style>
  <w:style w:type="paragraph" w:styleId="3">
    <w:name w:val="annotation text"/>
    <w:basedOn w:val="1"/>
    <w:link w:val="9"/>
    <w:unhideWhenUsed/>
    <w:qFormat/>
    <w:uiPriority w:val="99"/>
    <w:pPr>
      <w:jc w:val="left"/>
    </w:p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annotation reference"/>
    <w:basedOn w:val="6"/>
    <w:unhideWhenUsed/>
    <w:qFormat/>
    <w:uiPriority w:val="99"/>
    <w:rPr>
      <w:sz w:val="21"/>
      <w:szCs w:val="21"/>
    </w:rPr>
  </w:style>
  <w:style w:type="character" w:customStyle="1" w:styleId="9">
    <w:name w:val="批注文字 字符"/>
    <w:basedOn w:val="6"/>
    <w:link w:val="3"/>
    <w:semiHidden/>
    <w:qFormat/>
    <w:uiPriority w:val="99"/>
  </w:style>
  <w:style w:type="character" w:customStyle="1" w:styleId="10">
    <w:name w:val="页眉 字符"/>
    <w:basedOn w:val="6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6"/>
    <w:link w:val="4"/>
    <w:qFormat/>
    <w:uiPriority w:val="99"/>
    <w:rPr>
      <w:sz w:val="18"/>
      <w:szCs w:val="18"/>
    </w:rPr>
  </w:style>
  <w:style w:type="character" w:customStyle="1" w:styleId="12">
    <w:name w:val="批注主题 字符"/>
    <w:basedOn w:val="9"/>
    <w:link w:val="2"/>
    <w:semiHidden/>
    <w:qFormat/>
    <w:uiPriority w:val="99"/>
    <w:rPr>
      <w:b/>
      <w:bCs/>
    </w:rPr>
  </w:style>
  <w:style w:type="paragraph" w:customStyle="1" w:styleId="13">
    <w:name w:val="List Paragraph"/>
    <w:basedOn w:val="1"/>
    <w:qFormat/>
    <w:uiPriority w:val="34"/>
    <w:pPr>
      <w:ind w:firstLine="420" w:firstLineChars="200"/>
    </w:pPr>
  </w:style>
  <w:style w:type="paragraph" w:customStyle="1" w:styleId="14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495</Words>
  <Characters>2827</Characters>
  <Lines>23</Lines>
  <Paragraphs>6</Paragraphs>
  <TotalTime>0</TotalTime>
  <ScaleCrop>false</ScaleCrop>
  <LinksUpToDate>false</LinksUpToDate>
  <CharactersWithSpaces>3316</CharactersWithSpaces>
  <Application>WPS Office_3.9.1.6204_F1E327BC-269C-435d-A152-05C5408002CA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2021-10-31T12:32:00Z</dcterms:created>
  <dc:creator>l qq</dc:creator>
  <cp:lastModifiedBy>夏夏</cp:lastModifiedBy>
  <dcterms:modified xsi:type="dcterms:W3CDTF">2021-11-09T10:18:42Z</dcterms:modified>
  <cp:revision>136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2052-3.9.1.6204</vt:lpwstr>
  </property>
</Properties>
</file>